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14D7C" w14:textId="77777777" w:rsidR="00B43E90" w:rsidRPr="00511929" w:rsidRDefault="00B43E90" w:rsidP="00B43E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3"/>
          <w:szCs w:val="23"/>
        </w:rPr>
      </w:pPr>
      <w:r w:rsidRPr="00511929">
        <w:rPr>
          <w:rFonts w:asciiTheme="majorHAnsi" w:hAnsiTheme="majorHAnsi" w:cstheme="minorHAnsi"/>
          <w:b/>
          <w:sz w:val="23"/>
          <w:szCs w:val="23"/>
        </w:rPr>
        <w:t xml:space="preserve">Bleach </w:t>
      </w:r>
      <w:proofErr w:type="gramStart"/>
      <w:r w:rsidRPr="00511929">
        <w:rPr>
          <w:rFonts w:asciiTheme="majorHAnsi" w:hAnsiTheme="majorHAnsi" w:cstheme="minorHAnsi"/>
          <w:b/>
          <w:sz w:val="23"/>
          <w:szCs w:val="23"/>
        </w:rPr>
        <w:t>-  Research</w:t>
      </w:r>
      <w:proofErr w:type="gramEnd"/>
      <w:r w:rsidRPr="00511929">
        <w:rPr>
          <w:rFonts w:asciiTheme="majorHAnsi" w:hAnsiTheme="majorHAnsi" w:cstheme="minorHAnsi"/>
          <w:b/>
          <w:sz w:val="23"/>
          <w:szCs w:val="23"/>
        </w:rPr>
        <w:t xml:space="preserve"> Statement </w:t>
      </w:r>
      <w:r w:rsidRPr="00511929">
        <w:rPr>
          <w:rFonts w:asciiTheme="majorHAnsi" w:hAnsiTheme="majorHAnsi" w:cstheme="minorHAnsi"/>
          <w:sz w:val="23"/>
          <w:szCs w:val="23"/>
        </w:rPr>
        <w:t xml:space="preserve"> - </w:t>
      </w:r>
      <w:r w:rsidRPr="00511929">
        <w:rPr>
          <w:rFonts w:asciiTheme="majorHAnsi" w:hAnsiTheme="majorHAnsi" w:cstheme="minorHAnsi"/>
          <w:i/>
          <w:sz w:val="23"/>
          <w:szCs w:val="23"/>
        </w:rPr>
        <w:t>Horizontal Slowness</w:t>
      </w:r>
      <w:r w:rsidRPr="00511929">
        <w:rPr>
          <w:rFonts w:asciiTheme="majorHAnsi" w:hAnsiTheme="majorHAnsi" w:cstheme="minorHAnsi"/>
          <w:sz w:val="23"/>
          <w:szCs w:val="23"/>
        </w:rPr>
        <w:t xml:space="preserve"> – </w:t>
      </w:r>
      <w:r w:rsidRPr="00511929">
        <w:rPr>
          <w:rFonts w:asciiTheme="majorHAnsi" w:hAnsiTheme="majorHAnsi"/>
          <w:bCs/>
          <w:color w:val="000000"/>
        </w:rPr>
        <w:t>2015 Redlands Konica Minolta Art Prize</w:t>
      </w:r>
    </w:p>
    <w:p w14:paraId="4AE67DEA" w14:textId="77777777" w:rsidR="00B43E90" w:rsidRPr="00511929" w:rsidRDefault="00B43E90" w:rsidP="00B43E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i/>
          <w:iCs/>
          <w:sz w:val="23"/>
          <w:szCs w:val="23"/>
        </w:rPr>
      </w:pPr>
    </w:p>
    <w:p w14:paraId="5B93B6A5" w14:textId="5F8298A0" w:rsidR="00B43E90" w:rsidRPr="00511929" w:rsidRDefault="00B43E90" w:rsidP="00F214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3"/>
          <w:szCs w:val="23"/>
        </w:rPr>
      </w:pPr>
      <w:r w:rsidRPr="00511929">
        <w:rPr>
          <w:rFonts w:asciiTheme="majorHAnsi" w:hAnsiTheme="majorHAnsi" w:cstheme="minorHAnsi"/>
          <w:b/>
          <w:bCs/>
          <w:i/>
          <w:iCs/>
          <w:sz w:val="23"/>
          <w:szCs w:val="23"/>
        </w:rPr>
        <w:t xml:space="preserve">Research Background </w:t>
      </w:r>
    </w:p>
    <w:p w14:paraId="4CD2CA82" w14:textId="4342BBBD" w:rsidR="00B43E90" w:rsidRPr="00511929" w:rsidRDefault="00B43E90" w:rsidP="00750D7D">
      <w:pPr>
        <w:spacing w:after="0" w:line="240" w:lineRule="auto"/>
        <w:rPr>
          <w:rFonts w:asciiTheme="majorHAnsi" w:hAnsiTheme="majorHAnsi"/>
          <w:lang w:val="en-US"/>
        </w:rPr>
      </w:pPr>
      <w:r w:rsidRPr="00511929">
        <w:rPr>
          <w:rFonts w:asciiTheme="majorHAnsi" w:hAnsiTheme="majorHAnsi"/>
          <w:lang w:val="en-US"/>
        </w:rPr>
        <w:t xml:space="preserve">Expanded contemporary sculptural practice and </w:t>
      </w:r>
      <w:r w:rsidR="007D6F8F" w:rsidRPr="00511929">
        <w:rPr>
          <w:rFonts w:asciiTheme="majorHAnsi" w:hAnsiTheme="majorHAnsi"/>
          <w:lang w:val="en-US"/>
        </w:rPr>
        <w:t>collaborative</w:t>
      </w:r>
      <w:r w:rsidRPr="00511929">
        <w:rPr>
          <w:rFonts w:asciiTheme="majorHAnsi" w:hAnsiTheme="majorHAnsi"/>
          <w:lang w:val="en-US"/>
        </w:rPr>
        <w:t xml:space="preserve"> installation within a nominated exhibition context are </w:t>
      </w:r>
      <w:proofErr w:type="spellStart"/>
      <w:r w:rsidRPr="00511929">
        <w:rPr>
          <w:rFonts w:asciiTheme="majorHAnsi" w:hAnsiTheme="majorHAnsi"/>
          <w:lang w:val="en-US"/>
        </w:rPr>
        <w:t>specialised</w:t>
      </w:r>
      <w:proofErr w:type="spellEnd"/>
      <w:r w:rsidRPr="00511929">
        <w:rPr>
          <w:rFonts w:asciiTheme="majorHAnsi" w:hAnsiTheme="majorHAnsi"/>
          <w:lang w:val="en-US"/>
        </w:rPr>
        <w:t xml:space="preserve"> strategies within contemporary art practice to explore new understandings of place, culture and habitation of the specific location.</w:t>
      </w:r>
      <w:r w:rsidR="00511929" w:rsidRPr="00511929">
        <w:rPr>
          <w:rFonts w:asciiTheme="majorHAnsi" w:hAnsiTheme="majorHAnsi"/>
          <w:lang w:val="en-US"/>
        </w:rPr>
        <w:t xml:space="preserve"> </w:t>
      </w:r>
      <w:r w:rsidR="00511929" w:rsidRPr="00511929">
        <w:rPr>
          <w:rFonts w:asciiTheme="majorHAnsi" w:hAnsiTheme="majorHAnsi"/>
          <w:i/>
        </w:rPr>
        <w:t>Horizontal Slowness</w:t>
      </w:r>
      <w:r w:rsidR="00511929" w:rsidRPr="00511929">
        <w:rPr>
          <w:rFonts w:asciiTheme="majorHAnsi" w:hAnsiTheme="majorHAnsi"/>
        </w:rPr>
        <w:t xml:space="preserve"> </w:t>
      </w:r>
      <w:r w:rsidR="00511929" w:rsidRPr="00511929">
        <w:rPr>
          <w:rFonts w:asciiTheme="majorHAnsi" w:hAnsiTheme="majorHAnsi"/>
          <w:lang w:val="en-US"/>
        </w:rPr>
        <w:t xml:space="preserve">reflects on the contested spaces of Australian modernist architecture’s collision with spaces of occupation within the fraught Tasmanian landscape. The slow </w:t>
      </w:r>
      <w:r w:rsidR="00511929" w:rsidRPr="00511929">
        <w:rPr>
          <w:rFonts w:asciiTheme="majorHAnsi" w:hAnsiTheme="majorHAnsi"/>
        </w:rPr>
        <w:t xml:space="preserve">geological </w:t>
      </w:r>
      <w:r w:rsidR="00511929" w:rsidRPr="00511929">
        <w:rPr>
          <w:rFonts w:asciiTheme="majorHAnsi" w:hAnsiTheme="majorHAnsi"/>
          <w:lang w:val="en-US"/>
        </w:rPr>
        <w:t xml:space="preserve">narrative </w:t>
      </w:r>
      <w:r w:rsidR="00511929" w:rsidRPr="00511929">
        <w:rPr>
          <w:rFonts w:asciiTheme="majorHAnsi" w:hAnsiTheme="majorHAnsi"/>
        </w:rPr>
        <w:t>proposes a fluid contemporary, if temporary, re-habitation of this modernist ruin</w:t>
      </w:r>
    </w:p>
    <w:p w14:paraId="4DAFACA6" w14:textId="77777777" w:rsidR="00B43E90" w:rsidRPr="00511929" w:rsidRDefault="00B43E90" w:rsidP="00B43E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i/>
          <w:iCs/>
          <w:sz w:val="23"/>
          <w:szCs w:val="23"/>
        </w:rPr>
      </w:pPr>
    </w:p>
    <w:p w14:paraId="677F4AD2" w14:textId="77777777" w:rsidR="00B43E90" w:rsidRPr="00511929" w:rsidRDefault="00B43E90" w:rsidP="00B43E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3"/>
          <w:szCs w:val="23"/>
        </w:rPr>
      </w:pPr>
      <w:r w:rsidRPr="00511929">
        <w:rPr>
          <w:rFonts w:asciiTheme="majorHAnsi" w:hAnsiTheme="majorHAnsi" w:cstheme="minorHAnsi"/>
          <w:b/>
          <w:bCs/>
          <w:i/>
          <w:iCs/>
          <w:sz w:val="23"/>
          <w:szCs w:val="23"/>
        </w:rPr>
        <w:t xml:space="preserve">Research Contribution </w:t>
      </w:r>
    </w:p>
    <w:p w14:paraId="5CC24EC7" w14:textId="0C7B5888" w:rsidR="00F214C7" w:rsidRPr="00511929" w:rsidRDefault="00F214C7" w:rsidP="00F214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3"/>
          <w:szCs w:val="23"/>
        </w:rPr>
      </w:pPr>
      <w:r w:rsidRPr="00511929">
        <w:rPr>
          <w:rFonts w:asciiTheme="majorHAnsi" w:hAnsiTheme="majorHAnsi" w:cstheme="minorHAnsi"/>
          <w:i/>
          <w:sz w:val="23"/>
          <w:szCs w:val="23"/>
        </w:rPr>
        <w:t>Horizontal Slowness</w:t>
      </w:r>
      <w:r w:rsidRPr="00511929">
        <w:rPr>
          <w:rFonts w:asciiTheme="majorHAnsi" w:hAnsiTheme="majorHAnsi" w:cstheme="minorHAnsi"/>
          <w:sz w:val="23"/>
          <w:szCs w:val="23"/>
        </w:rPr>
        <w:t xml:space="preserve"> </w:t>
      </w:r>
      <w:r w:rsidRPr="00511929">
        <w:rPr>
          <w:rFonts w:asciiTheme="majorHAnsi" w:hAnsiTheme="majorHAnsi"/>
        </w:rPr>
        <w:t xml:space="preserve">was produced for the </w:t>
      </w:r>
      <w:r w:rsidRPr="00511929">
        <w:rPr>
          <w:rFonts w:asciiTheme="majorHAnsi" w:hAnsiTheme="majorHAnsi"/>
          <w:bCs/>
          <w:color w:val="000000"/>
        </w:rPr>
        <w:t>2015 Redlands Konica Minolta Art Prize.</w:t>
      </w:r>
    </w:p>
    <w:p w14:paraId="1966576C" w14:textId="65D8364E" w:rsidR="00750D7D" w:rsidRPr="00511929" w:rsidRDefault="00750D7D" w:rsidP="00750D7D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lang w:val="en-US"/>
        </w:rPr>
      </w:pPr>
      <w:r w:rsidRPr="00511929">
        <w:rPr>
          <w:rFonts w:asciiTheme="majorHAnsi" w:hAnsiTheme="majorHAnsi"/>
        </w:rPr>
        <w:t xml:space="preserve">The work </w:t>
      </w:r>
      <w:r w:rsidRPr="00511929">
        <w:rPr>
          <w:rFonts w:asciiTheme="majorHAnsi" w:hAnsiTheme="majorHAnsi"/>
          <w:i/>
        </w:rPr>
        <w:t>Horizontal Slowness</w:t>
      </w:r>
      <w:r w:rsidRPr="00511929">
        <w:rPr>
          <w:rFonts w:asciiTheme="majorHAnsi" w:hAnsiTheme="majorHAnsi"/>
        </w:rPr>
        <w:t xml:space="preserve"> extends </w:t>
      </w:r>
      <w:r w:rsidR="007C5FEF" w:rsidRPr="00511929">
        <w:rPr>
          <w:rFonts w:asciiTheme="majorHAnsi" w:hAnsiTheme="majorHAnsi"/>
        </w:rPr>
        <w:t>on</w:t>
      </w:r>
      <w:r w:rsidRPr="00511929">
        <w:rPr>
          <w:rFonts w:asciiTheme="majorHAnsi" w:hAnsiTheme="majorHAnsi"/>
        </w:rPr>
        <w:t xml:space="preserve"> the collaborative work </w:t>
      </w:r>
      <w:r w:rsidRPr="00511929">
        <w:rPr>
          <w:rFonts w:asciiTheme="majorHAnsi" w:hAnsiTheme="majorHAnsi"/>
          <w:i/>
        </w:rPr>
        <w:t>The Third Space</w:t>
      </w:r>
      <w:r w:rsidRPr="00511929">
        <w:rPr>
          <w:rFonts w:asciiTheme="majorHAnsi" w:hAnsiTheme="majorHAnsi"/>
        </w:rPr>
        <w:t xml:space="preserve"> performed</w:t>
      </w:r>
      <w:r w:rsidRPr="00511929">
        <w:rPr>
          <w:rFonts w:asciiTheme="majorHAnsi" w:hAnsiTheme="majorHAnsi"/>
          <w:i/>
        </w:rPr>
        <w:t xml:space="preserve"> </w:t>
      </w:r>
      <w:r w:rsidRPr="00511929">
        <w:rPr>
          <w:rFonts w:asciiTheme="majorHAnsi" w:hAnsiTheme="majorHAnsi"/>
        </w:rPr>
        <w:t xml:space="preserve">with </w:t>
      </w:r>
      <w:proofErr w:type="spellStart"/>
      <w:r w:rsidRPr="00511929">
        <w:rPr>
          <w:rFonts w:asciiTheme="majorHAnsi" w:hAnsiTheme="majorHAnsi"/>
        </w:rPr>
        <w:t>Narelle</w:t>
      </w:r>
      <w:proofErr w:type="spellEnd"/>
      <w:r w:rsidRPr="00511929">
        <w:rPr>
          <w:rFonts w:asciiTheme="majorHAnsi" w:hAnsiTheme="majorHAnsi"/>
        </w:rPr>
        <w:t xml:space="preserve"> </w:t>
      </w:r>
      <w:proofErr w:type="spellStart"/>
      <w:r w:rsidRPr="00511929">
        <w:rPr>
          <w:rFonts w:asciiTheme="majorHAnsi" w:hAnsiTheme="majorHAnsi"/>
        </w:rPr>
        <w:t>Jubelin</w:t>
      </w:r>
      <w:proofErr w:type="spellEnd"/>
      <w:r w:rsidRPr="00511929">
        <w:rPr>
          <w:rFonts w:asciiTheme="majorHAnsi" w:hAnsiTheme="majorHAnsi"/>
        </w:rPr>
        <w:t xml:space="preserve"> on May Day, 2012</w:t>
      </w:r>
      <w:r w:rsidR="00511929">
        <w:rPr>
          <w:rFonts w:asciiTheme="majorHAnsi" w:hAnsiTheme="majorHAnsi"/>
        </w:rPr>
        <w:t>, and</w:t>
      </w:r>
      <w:r w:rsidRPr="00511929">
        <w:rPr>
          <w:rFonts w:asciiTheme="majorHAnsi" w:hAnsiTheme="majorHAnsi"/>
        </w:rPr>
        <w:t xml:space="preserve"> draws on the notion of </w:t>
      </w:r>
      <w:r w:rsidRPr="00511929">
        <w:rPr>
          <w:rFonts w:asciiTheme="majorHAnsi" w:hAnsiTheme="majorHAnsi"/>
          <w:lang w:val="en-US"/>
        </w:rPr>
        <w:t xml:space="preserve">a steady progression of shifting inhabitation through natural, conceptual and constructed layers of the architect </w:t>
      </w:r>
      <w:proofErr w:type="spellStart"/>
      <w:r w:rsidRPr="00511929">
        <w:rPr>
          <w:rFonts w:asciiTheme="majorHAnsi" w:hAnsiTheme="majorHAnsi"/>
          <w:lang w:val="en-US"/>
        </w:rPr>
        <w:t>Esmond</w:t>
      </w:r>
      <w:proofErr w:type="spellEnd"/>
      <w:r w:rsidRPr="00511929">
        <w:rPr>
          <w:rFonts w:asciiTheme="majorHAnsi" w:hAnsiTheme="majorHAnsi"/>
          <w:lang w:val="en-US"/>
        </w:rPr>
        <w:t xml:space="preserve"> </w:t>
      </w:r>
      <w:proofErr w:type="spellStart"/>
      <w:r w:rsidRPr="00511929">
        <w:rPr>
          <w:rFonts w:asciiTheme="majorHAnsi" w:hAnsiTheme="majorHAnsi"/>
          <w:lang w:val="en-US"/>
        </w:rPr>
        <w:t>Dorney’s</w:t>
      </w:r>
      <w:proofErr w:type="spellEnd"/>
      <w:r w:rsidRPr="00511929">
        <w:rPr>
          <w:rFonts w:asciiTheme="majorHAnsi" w:hAnsiTheme="majorHAnsi"/>
          <w:lang w:val="en-US"/>
        </w:rPr>
        <w:t xml:space="preserve"> house atop Fort Nelson in Hobart. </w:t>
      </w:r>
    </w:p>
    <w:p w14:paraId="06348AC0" w14:textId="77777777" w:rsidR="007D6F8F" w:rsidRPr="00511929" w:rsidRDefault="007D6F8F" w:rsidP="007D6F8F">
      <w:pPr>
        <w:tabs>
          <w:tab w:val="left" w:pos="2662"/>
        </w:tabs>
        <w:spacing w:after="0" w:line="240" w:lineRule="auto"/>
        <w:rPr>
          <w:rFonts w:asciiTheme="majorHAnsi" w:hAnsiTheme="majorHAnsi"/>
          <w:sz w:val="16"/>
          <w:szCs w:val="16"/>
        </w:rPr>
      </w:pPr>
      <w:r w:rsidRPr="00511929">
        <w:rPr>
          <w:rFonts w:asciiTheme="majorHAnsi" w:hAnsiTheme="majorHAnsi"/>
          <w:sz w:val="16"/>
          <w:szCs w:val="16"/>
        </w:rPr>
        <w:tab/>
      </w:r>
    </w:p>
    <w:p w14:paraId="5A4A636F" w14:textId="501B95F7" w:rsidR="00750D7D" w:rsidRPr="00511929" w:rsidRDefault="00750D7D" w:rsidP="00511929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lang w:val="en-US"/>
        </w:rPr>
      </w:pPr>
      <w:r w:rsidRPr="00511929">
        <w:rPr>
          <w:rFonts w:asciiTheme="majorHAnsi" w:hAnsiTheme="majorHAnsi"/>
          <w:lang w:val="en-US"/>
        </w:rPr>
        <w:t xml:space="preserve">The work comprised a sequence of </w:t>
      </w:r>
      <w:r w:rsidR="007C5FEF" w:rsidRPr="00511929">
        <w:rPr>
          <w:rFonts w:asciiTheme="majorHAnsi" w:hAnsiTheme="majorHAnsi"/>
          <w:lang w:val="en-US"/>
        </w:rPr>
        <w:t xml:space="preserve">Super 8 </w:t>
      </w:r>
      <w:r w:rsidRPr="00511929">
        <w:rPr>
          <w:rFonts w:asciiTheme="majorHAnsi" w:hAnsiTheme="majorHAnsi"/>
          <w:lang w:val="en-US"/>
        </w:rPr>
        <w:t xml:space="preserve">film and video stills. The film stills </w:t>
      </w:r>
      <w:r w:rsidR="007C5FEF" w:rsidRPr="00511929">
        <w:rPr>
          <w:rFonts w:asciiTheme="majorHAnsi" w:hAnsiTheme="majorHAnsi"/>
          <w:lang w:val="en-US"/>
        </w:rPr>
        <w:t>were</w:t>
      </w:r>
      <w:r w:rsidRPr="00511929">
        <w:rPr>
          <w:rFonts w:asciiTheme="majorHAnsi" w:hAnsiTheme="majorHAnsi"/>
          <w:lang w:val="en-US"/>
        </w:rPr>
        <w:t xml:space="preserve"> drawn from Super 8 film footage capturing the ruins of the original </w:t>
      </w:r>
      <w:proofErr w:type="spellStart"/>
      <w:r w:rsidRPr="00511929">
        <w:rPr>
          <w:rFonts w:asciiTheme="majorHAnsi" w:hAnsiTheme="majorHAnsi"/>
          <w:lang w:val="en-US"/>
        </w:rPr>
        <w:t>Dorney</w:t>
      </w:r>
      <w:proofErr w:type="spellEnd"/>
      <w:r w:rsidRPr="00511929">
        <w:rPr>
          <w:rFonts w:asciiTheme="majorHAnsi" w:hAnsiTheme="majorHAnsi"/>
          <w:lang w:val="en-US"/>
        </w:rPr>
        <w:t xml:space="preserve"> house (1949), built over the southern most battery of the fort</w:t>
      </w:r>
      <w:r w:rsidR="00511929" w:rsidRPr="00511929">
        <w:rPr>
          <w:rFonts w:asciiTheme="majorHAnsi" w:hAnsiTheme="majorHAnsi"/>
          <w:lang w:val="en-US"/>
        </w:rPr>
        <w:t>.</w:t>
      </w:r>
      <w:r w:rsidRPr="00511929">
        <w:rPr>
          <w:rFonts w:asciiTheme="majorHAnsi" w:hAnsiTheme="majorHAnsi"/>
          <w:lang w:val="en-US"/>
        </w:rPr>
        <w:t xml:space="preserve"> The video stills </w:t>
      </w:r>
      <w:r w:rsidR="007C5FEF" w:rsidRPr="00511929">
        <w:rPr>
          <w:rFonts w:asciiTheme="majorHAnsi" w:hAnsiTheme="majorHAnsi"/>
          <w:lang w:val="en-US"/>
        </w:rPr>
        <w:t>were</w:t>
      </w:r>
      <w:r w:rsidRPr="00511929">
        <w:rPr>
          <w:rFonts w:asciiTheme="majorHAnsi" w:hAnsiTheme="majorHAnsi"/>
          <w:lang w:val="en-US"/>
        </w:rPr>
        <w:t xml:space="preserve"> compiled from documentation of the Tasmanian Theatre Company’s 2014 production of Edward Albee’s </w:t>
      </w:r>
      <w:r w:rsidRPr="00511929">
        <w:rPr>
          <w:rFonts w:asciiTheme="majorHAnsi" w:hAnsiTheme="majorHAnsi"/>
          <w:i/>
          <w:lang w:val="en-US"/>
        </w:rPr>
        <w:t>Who’s Afraid of Virginia Woolf</w:t>
      </w:r>
      <w:r w:rsidRPr="00511929">
        <w:rPr>
          <w:rFonts w:asciiTheme="majorHAnsi" w:hAnsiTheme="majorHAnsi"/>
          <w:lang w:val="en-US"/>
        </w:rPr>
        <w:t xml:space="preserve"> (1972) performed in the interior communal areas of the current</w:t>
      </w:r>
      <w:r w:rsidR="00511929">
        <w:rPr>
          <w:rFonts w:asciiTheme="majorHAnsi" w:hAnsiTheme="majorHAnsi"/>
          <w:lang w:val="en-US"/>
        </w:rPr>
        <w:t xml:space="preserve"> construction</w:t>
      </w:r>
      <w:r w:rsidRPr="00511929">
        <w:rPr>
          <w:rFonts w:asciiTheme="majorHAnsi" w:hAnsiTheme="majorHAnsi"/>
          <w:lang w:val="en-US"/>
        </w:rPr>
        <w:t xml:space="preserve"> of the </w:t>
      </w:r>
      <w:proofErr w:type="spellStart"/>
      <w:r w:rsidRPr="00511929">
        <w:rPr>
          <w:rFonts w:asciiTheme="majorHAnsi" w:hAnsiTheme="majorHAnsi"/>
          <w:lang w:val="en-US"/>
        </w:rPr>
        <w:t>Dorney</w:t>
      </w:r>
      <w:proofErr w:type="spellEnd"/>
      <w:r w:rsidRPr="00511929">
        <w:rPr>
          <w:rFonts w:asciiTheme="majorHAnsi" w:hAnsiTheme="majorHAnsi"/>
          <w:lang w:val="en-US"/>
        </w:rPr>
        <w:t xml:space="preserve"> family home (1978). Each print</w:t>
      </w:r>
      <w:r w:rsidR="007C5FEF" w:rsidRPr="00511929">
        <w:rPr>
          <w:rFonts w:asciiTheme="majorHAnsi" w:hAnsiTheme="majorHAnsi"/>
          <w:lang w:val="en-US"/>
        </w:rPr>
        <w:t>ed film still</w:t>
      </w:r>
      <w:r w:rsidRPr="00511929">
        <w:rPr>
          <w:rFonts w:asciiTheme="majorHAnsi" w:hAnsiTheme="majorHAnsi"/>
          <w:lang w:val="en-US"/>
        </w:rPr>
        <w:t xml:space="preserve"> was embedded in its own be</w:t>
      </w:r>
      <w:bookmarkStart w:id="0" w:name="_GoBack"/>
      <w:bookmarkEnd w:id="0"/>
      <w:r w:rsidRPr="00511929">
        <w:rPr>
          <w:rFonts w:asciiTheme="majorHAnsi" w:hAnsiTheme="majorHAnsi"/>
          <w:lang w:val="en-US"/>
        </w:rPr>
        <w:t xml:space="preserve">spoke slab of concrete, where the weight of the modern ‘rock’ grounds the compressed overlay of provisional film and video still images. </w:t>
      </w:r>
    </w:p>
    <w:p w14:paraId="6CBFC9E4" w14:textId="20DAFF28" w:rsidR="00B43E90" w:rsidRPr="00511929" w:rsidRDefault="007D6F8F" w:rsidP="00511929">
      <w:pPr>
        <w:tabs>
          <w:tab w:val="left" w:pos="2662"/>
        </w:tabs>
        <w:spacing w:after="0" w:line="240" w:lineRule="auto"/>
        <w:rPr>
          <w:rFonts w:asciiTheme="majorHAnsi" w:hAnsiTheme="majorHAnsi"/>
          <w:sz w:val="16"/>
          <w:szCs w:val="16"/>
        </w:rPr>
      </w:pPr>
      <w:r w:rsidRPr="00511929">
        <w:rPr>
          <w:rFonts w:asciiTheme="majorHAnsi" w:hAnsiTheme="majorHAnsi"/>
          <w:sz w:val="16"/>
          <w:szCs w:val="16"/>
        </w:rPr>
        <w:tab/>
      </w:r>
    </w:p>
    <w:p w14:paraId="14B12FF5" w14:textId="77777777" w:rsidR="00B43E90" w:rsidRPr="00511929" w:rsidRDefault="00B43E90" w:rsidP="00B43E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3"/>
          <w:szCs w:val="23"/>
        </w:rPr>
      </w:pPr>
      <w:r w:rsidRPr="00511929">
        <w:rPr>
          <w:rFonts w:asciiTheme="majorHAnsi" w:hAnsiTheme="majorHAnsi" w:cstheme="minorHAnsi"/>
          <w:b/>
          <w:bCs/>
          <w:i/>
          <w:iCs/>
          <w:sz w:val="23"/>
          <w:szCs w:val="23"/>
        </w:rPr>
        <w:t xml:space="preserve">Research Significance </w:t>
      </w:r>
    </w:p>
    <w:p w14:paraId="6C8994DB" w14:textId="7BC51388" w:rsidR="007934B3" w:rsidRPr="00511929" w:rsidRDefault="00750D7D" w:rsidP="00750D7D">
      <w:pPr>
        <w:spacing w:after="0" w:line="240" w:lineRule="auto"/>
        <w:rPr>
          <w:rFonts w:asciiTheme="majorHAnsi" w:hAnsiTheme="majorHAnsi"/>
          <w:bCs/>
          <w:color w:val="000000"/>
        </w:rPr>
      </w:pPr>
      <w:r w:rsidRPr="00511929">
        <w:rPr>
          <w:rFonts w:asciiTheme="majorHAnsi" w:hAnsiTheme="majorHAnsi"/>
          <w:bCs/>
          <w:i/>
          <w:color w:val="000000"/>
          <w:lang w:val="en-US"/>
        </w:rPr>
        <w:t>Horizontal Slowness</w:t>
      </w:r>
      <w:r w:rsidR="007D6F8F" w:rsidRPr="00511929">
        <w:rPr>
          <w:rFonts w:asciiTheme="majorHAnsi" w:hAnsiTheme="majorHAnsi"/>
          <w:bCs/>
          <w:i/>
          <w:color w:val="000000"/>
          <w:lang w:val="en-US"/>
        </w:rPr>
        <w:t xml:space="preserve"> </w:t>
      </w:r>
      <w:r w:rsidR="007D6F8F" w:rsidRPr="00511929">
        <w:rPr>
          <w:rFonts w:asciiTheme="majorHAnsi" w:hAnsiTheme="majorHAnsi"/>
          <w:bCs/>
          <w:color w:val="000000"/>
          <w:lang w:val="en-US"/>
        </w:rPr>
        <w:t>was</w:t>
      </w:r>
      <w:r w:rsidR="007D6F8F" w:rsidRPr="00511929">
        <w:rPr>
          <w:rFonts w:asciiTheme="majorHAnsi" w:hAnsiTheme="majorHAnsi"/>
          <w:bCs/>
          <w:i/>
          <w:color w:val="000000"/>
          <w:lang w:val="en-US"/>
        </w:rPr>
        <w:t xml:space="preserve"> </w:t>
      </w:r>
      <w:r w:rsidR="007D6F8F" w:rsidRPr="00511929">
        <w:rPr>
          <w:rFonts w:asciiTheme="majorHAnsi" w:hAnsiTheme="majorHAnsi"/>
          <w:bCs/>
          <w:color w:val="000000"/>
          <w:lang w:val="en-US"/>
        </w:rPr>
        <w:t>a</w:t>
      </w:r>
      <w:r w:rsidR="003C303A" w:rsidRPr="00511929">
        <w:rPr>
          <w:rFonts w:asciiTheme="majorHAnsi" w:hAnsiTheme="majorHAnsi"/>
          <w:bCs/>
          <w:color w:val="000000"/>
          <w:lang w:val="en-US"/>
        </w:rPr>
        <w:t xml:space="preserve">n invited </w:t>
      </w:r>
      <w:r w:rsidR="007D6F8F" w:rsidRPr="00511929">
        <w:rPr>
          <w:rFonts w:asciiTheme="majorHAnsi" w:hAnsiTheme="majorHAnsi"/>
          <w:bCs/>
          <w:color w:val="000000"/>
        </w:rPr>
        <w:t xml:space="preserve">entry in the </w:t>
      </w:r>
      <w:r w:rsidRPr="00511929">
        <w:rPr>
          <w:rFonts w:asciiTheme="majorHAnsi" w:hAnsiTheme="majorHAnsi"/>
          <w:bCs/>
          <w:color w:val="000000"/>
        </w:rPr>
        <w:t xml:space="preserve">2015 Redlands Konica Minolta Art Prize (RKMAP) at the National Art School, Sydney, in collaboration with </w:t>
      </w:r>
      <w:proofErr w:type="spellStart"/>
      <w:r w:rsidRPr="00511929">
        <w:rPr>
          <w:rFonts w:asciiTheme="majorHAnsi" w:hAnsiTheme="majorHAnsi"/>
          <w:bCs/>
          <w:color w:val="000000"/>
        </w:rPr>
        <w:t>Narelle</w:t>
      </w:r>
      <w:proofErr w:type="spellEnd"/>
      <w:r w:rsidRPr="00511929">
        <w:rPr>
          <w:rFonts w:asciiTheme="majorHAnsi" w:hAnsiTheme="majorHAnsi"/>
          <w:bCs/>
          <w:color w:val="000000"/>
        </w:rPr>
        <w:t xml:space="preserve"> </w:t>
      </w:r>
      <w:proofErr w:type="spellStart"/>
      <w:r w:rsidRPr="00511929">
        <w:rPr>
          <w:rFonts w:asciiTheme="majorHAnsi" w:hAnsiTheme="majorHAnsi"/>
          <w:bCs/>
          <w:color w:val="000000"/>
        </w:rPr>
        <w:t>Jubelin</w:t>
      </w:r>
      <w:proofErr w:type="spellEnd"/>
      <w:r w:rsidR="007D6F8F" w:rsidRPr="00511929">
        <w:rPr>
          <w:rFonts w:asciiTheme="majorHAnsi" w:hAnsiTheme="majorHAnsi"/>
          <w:bCs/>
          <w:color w:val="000000"/>
        </w:rPr>
        <w:t xml:space="preserve">. </w:t>
      </w:r>
      <w:r w:rsidR="007934B3" w:rsidRPr="00511929">
        <w:rPr>
          <w:rFonts w:asciiTheme="majorHAnsi" w:hAnsiTheme="majorHAnsi"/>
          <w:bCs/>
          <w:color w:val="000000"/>
        </w:rPr>
        <w:t xml:space="preserve">The RKMAP was established 18 years ago and is a contemporary art prize that supports both established and early-career Australian and New Zealand artists in a unique structure that recognises the importance of dialogue and mentoring between generations of artists. The Guest Curator in 2015 is the respected artist Tim Johnson.  </w:t>
      </w:r>
    </w:p>
    <w:p w14:paraId="61A84298" w14:textId="77777777" w:rsidR="005B3424" w:rsidRPr="00511929" w:rsidRDefault="005B3424" w:rsidP="00750D7D">
      <w:pPr>
        <w:spacing w:after="0" w:line="240" w:lineRule="auto"/>
        <w:rPr>
          <w:rFonts w:asciiTheme="majorHAnsi" w:hAnsiTheme="majorHAnsi"/>
          <w:bCs/>
          <w:color w:val="000000"/>
        </w:rPr>
      </w:pPr>
    </w:p>
    <w:p w14:paraId="75208101" w14:textId="77777777" w:rsidR="00B43E90" w:rsidRPr="00511929" w:rsidRDefault="007D6F8F" w:rsidP="00B43E90">
      <w:pPr>
        <w:spacing w:after="0" w:line="240" w:lineRule="auto"/>
        <w:rPr>
          <w:rFonts w:asciiTheme="majorHAnsi" w:hAnsiTheme="majorHAnsi" w:cstheme="minorHAnsi"/>
        </w:rPr>
      </w:pPr>
      <w:r w:rsidRPr="00511929">
        <w:rPr>
          <w:rFonts w:asciiTheme="majorHAnsi" w:hAnsiTheme="majorHAnsi" w:cstheme="minorHAnsi"/>
        </w:rPr>
        <w:t>A 29-page full-colour catalogue was produced to accompany the exhibition.</w:t>
      </w:r>
    </w:p>
    <w:p w14:paraId="4A0A46B3" w14:textId="7666507C" w:rsidR="005B3424" w:rsidRPr="00511929" w:rsidRDefault="005B3424" w:rsidP="00B43E90">
      <w:pPr>
        <w:spacing w:after="0" w:line="240" w:lineRule="auto"/>
        <w:rPr>
          <w:rFonts w:asciiTheme="majorHAnsi" w:hAnsiTheme="majorHAnsi" w:cstheme="minorHAnsi"/>
        </w:rPr>
      </w:pPr>
      <w:r w:rsidRPr="00511929">
        <w:rPr>
          <w:rFonts w:asciiTheme="majorHAnsi" w:hAnsiTheme="majorHAnsi"/>
        </w:rPr>
        <w:t>Printed invitation distributed by mail and digital invitation distributed by email</w:t>
      </w:r>
    </w:p>
    <w:p w14:paraId="7B01EF7B" w14:textId="77777777" w:rsidR="00261F63" w:rsidRPr="00511929" w:rsidRDefault="00261F63">
      <w:pPr>
        <w:rPr>
          <w:rFonts w:asciiTheme="majorHAnsi" w:hAnsiTheme="majorHAnsi"/>
        </w:rPr>
      </w:pPr>
    </w:p>
    <w:sectPr w:rsidR="00261F63" w:rsidRPr="00511929" w:rsidSect="007D6F8F">
      <w:pgSz w:w="11900" w:h="16840"/>
      <w:pgMar w:top="1135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A9AA2" w14:textId="77777777" w:rsidR="00F919F6" w:rsidRDefault="00F919F6" w:rsidP="00750D7D">
      <w:pPr>
        <w:spacing w:after="0" w:line="240" w:lineRule="auto"/>
      </w:pPr>
      <w:r>
        <w:separator/>
      </w:r>
    </w:p>
  </w:endnote>
  <w:endnote w:type="continuationSeparator" w:id="0">
    <w:p w14:paraId="475ED360" w14:textId="77777777" w:rsidR="00F919F6" w:rsidRDefault="00F919F6" w:rsidP="0075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D4616" w14:textId="77777777" w:rsidR="00F919F6" w:rsidRDefault="00F919F6" w:rsidP="00750D7D">
      <w:pPr>
        <w:spacing w:after="0" w:line="240" w:lineRule="auto"/>
      </w:pPr>
      <w:r>
        <w:separator/>
      </w:r>
    </w:p>
  </w:footnote>
  <w:footnote w:type="continuationSeparator" w:id="0">
    <w:p w14:paraId="06E8E8DB" w14:textId="77777777" w:rsidR="00F919F6" w:rsidRDefault="00F919F6" w:rsidP="00750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2DA9"/>
    <w:multiLevelType w:val="hybridMultilevel"/>
    <w:tmpl w:val="C7E090C6"/>
    <w:lvl w:ilvl="0" w:tplc="0409000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90"/>
    <w:rsid w:val="00261F63"/>
    <w:rsid w:val="003C303A"/>
    <w:rsid w:val="00511929"/>
    <w:rsid w:val="005B19E2"/>
    <w:rsid w:val="005B3424"/>
    <w:rsid w:val="00750D7D"/>
    <w:rsid w:val="007934B3"/>
    <w:rsid w:val="007C5FEF"/>
    <w:rsid w:val="007D6F8F"/>
    <w:rsid w:val="00B43E90"/>
    <w:rsid w:val="00F214C7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A8D0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50D7D"/>
    <w:pPr>
      <w:spacing w:after="0" w:line="240" w:lineRule="auto"/>
    </w:pPr>
    <w:rPr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50D7D"/>
  </w:style>
  <w:style w:type="paragraph" w:styleId="FootnoteText">
    <w:name w:val="footnote text"/>
    <w:basedOn w:val="Normal"/>
    <w:link w:val="FootnoteTextChar"/>
    <w:uiPriority w:val="99"/>
    <w:unhideWhenUsed/>
    <w:rsid w:val="00750D7D"/>
    <w:pPr>
      <w:spacing w:after="0" w:line="240" w:lineRule="auto"/>
    </w:pPr>
    <w:rPr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D7D"/>
  </w:style>
  <w:style w:type="character" w:styleId="FootnoteReference">
    <w:name w:val="footnote reference"/>
    <w:basedOn w:val="DefaultParagraphFont"/>
    <w:uiPriority w:val="99"/>
    <w:unhideWhenUsed/>
    <w:rsid w:val="00750D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B34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50D7D"/>
    <w:pPr>
      <w:spacing w:after="0" w:line="240" w:lineRule="auto"/>
    </w:pPr>
    <w:rPr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50D7D"/>
  </w:style>
  <w:style w:type="paragraph" w:styleId="FootnoteText">
    <w:name w:val="footnote text"/>
    <w:basedOn w:val="Normal"/>
    <w:link w:val="FootnoteTextChar"/>
    <w:uiPriority w:val="99"/>
    <w:unhideWhenUsed/>
    <w:rsid w:val="00750D7D"/>
    <w:pPr>
      <w:spacing w:after="0" w:line="240" w:lineRule="auto"/>
    </w:pPr>
    <w:rPr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D7D"/>
  </w:style>
  <w:style w:type="character" w:styleId="FootnoteReference">
    <w:name w:val="footnote reference"/>
    <w:basedOn w:val="DefaultParagraphFont"/>
    <w:uiPriority w:val="99"/>
    <w:unhideWhenUsed/>
    <w:rsid w:val="00750D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B3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363</Words>
  <Characters>2075</Characters>
  <Application>Microsoft Macintosh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2015-06-29T14:12:00Z</dcterms:created>
  <dcterms:modified xsi:type="dcterms:W3CDTF">2017-10-14T22:25:00Z</dcterms:modified>
</cp:coreProperties>
</file>