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24B" w:rsidRDefault="004E55F2" w:rsidP="004E55F2">
      <w:pPr>
        <w:pStyle w:val="Heading1"/>
        <w:numPr>
          <w:ilvl w:val="0"/>
          <w:numId w:val="0"/>
        </w:numPr>
        <w:ind w:left="432" w:hanging="432"/>
      </w:pPr>
      <w:r>
        <w:t>Observational sub-study</w:t>
      </w:r>
    </w:p>
    <w:p w:rsidR="004E55F2" w:rsidRDefault="004E55F2" w:rsidP="004E55F2">
      <w:pPr>
        <w:pStyle w:val="Heading3"/>
        <w:numPr>
          <w:ilvl w:val="2"/>
          <w:numId w:val="1"/>
        </w:numPr>
        <w:ind w:left="851" w:hanging="851"/>
      </w:pPr>
      <w:r>
        <w:t>Influencing factors on performance rates</w:t>
      </w:r>
    </w:p>
    <w:p w:rsidR="002211F2" w:rsidRDefault="002211F2" w:rsidP="002211F2">
      <w:pPr>
        <w:rPr>
          <w:rFonts w:cstheme="minorHAnsi"/>
          <w:szCs w:val="24"/>
        </w:rPr>
      </w:pPr>
      <w:r>
        <w:rPr>
          <w:lang w:val="en-US" w:bidi="en-US"/>
        </w:rPr>
        <w:t>During the sub-study, 90 pharmacists were observed in s</w:t>
      </w:r>
      <w:bookmarkStart w:id="0" w:name="_GoBack"/>
      <w:bookmarkEnd w:id="0"/>
      <w:r>
        <w:rPr>
          <w:lang w:val="en-US" w:bidi="en-US"/>
        </w:rPr>
        <w:t xml:space="preserve">oftware pharmacies, with 6 of these pharmacists performing no interventions and 19 recording no interventions. Therefore, 5 pharmacists </w:t>
      </w:r>
      <w:r>
        <w:rPr>
          <w:rFonts w:cstheme="minorHAnsi"/>
          <w:szCs w:val="24"/>
        </w:rPr>
        <w:t>did not perform or record any interventions, 14 performed interventions but did not record any, and 1 pharmacist recorded an intervention but did not perform any (indicating that the pharmacist recorded something that the observer did not feel was an intervention). Transformation did not improve the data (</w:t>
      </w:r>
      <w:r>
        <w:rPr>
          <w:rFonts w:cstheme="minorHAnsi"/>
          <w:i/>
          <w:szCs w:val="24"/>
        </w:rPr>
        <w:t>Kolmogorov-Smirnov statistic</w:t>
      </w:r>
      <w:r>
        <w:rPr>
          <w:rFonts w:cstheme="minorHAnsi"/>
          <w:szCs w:val="24"/>
        </w:rPr>
        <w:t xml:space="preserve"> = 0.16, </w:t>
      </w:r>
      <w:proofErr w:type="gramStart"/>
      <w:r>
        <w:rPr>
          <w:rFonts w:cstheme="minorHAnsi"/>
          <w:i/>
          <w:szCs w:val="24"/>
        </w:rPr>
        <w:t>df</w:t>
      </w:r>
      <w:proofErr w:type="gramEnd"/>
      <w:r>
        <w:rPr>
          <w:rFonts w:cstheme="minorHAnsi"/>
          <w:szCs w:val="24"/>
        </w:rPr>
        <w:t xml:space="preserve"> = 65, </w:t>
      </w:r>
      <w:r>
        <w:rPr>
          <w:rFonts w:cstheme="minorHAnsi"/>
          <w:i/>
          <w:szCs w:val="24"/>
        </w:rPr>
        <w:t>p</w:t>
      </w:r>
      <w:r>
        <w:rPr>
          <w:rFonts w:cstheme="minorHAnsi"/>
          <w:szCs w:val="24"/>
        </w:rPr>
        <w:t>&lt; 0.001); so non-parametric statistical tests were used.</w:t>
      </w:r>
    </w:p>
    <w:p w:rsidR="004E55F2" w:rsidRDefault="004E55F2" w:rsidP="004E55F2">
      <w:pPr>
        <w:pStyle w:val="Heading4"/>
        <w:numPr>
          <w:ilvl w:val="3"/>
          <w:numId w:val="1"/>
        </w:numPr>
        <w:ind w:left="1134" w:hanging="1134"/>
      </w:pPr>
      <w:r>
        <w:t>Demographics</w:t>
      </w:r>
    </w:p>
    <w:p w:rsidR="004E55F2" w:rsidRDefault="004E55F2" w:rsidP="004E55F2">
      <w:pPr>
        <w:rPr>
          <w:lang w:val="en-US" w:bidi="en-US"/>
        </w:rPr>
      </w:pPr>
      <w:r>
        <w:rPr>
          <w:lang w:val="en-US" w:bidi="en-US"/>
        </w:rPr>
        <w:t>Of the 78 pharmacists who completed the surveys, 44 were female and 34 were male, with no significant difference in intervention performance rate between the two genders (</w:t>
      </w:r>
      <w:r>
        <w:rPr>
          <w:i/>
          <w:lang w:val="en-US" w:bidi="en-US"/>
        </w:rPr>
        <w:t>Mann-Whitney U</w:t>
      </w:r>
      <w:r>
        <w:rPr>
          <w:lang w:val="en-US" w:bidi="en-US"/>
        </w:rPr>
        <w:t xml:space="preserve"> = 644.50, </w:t>
      </w:r>
      <w:r>
        <w:rPr>
          <w:i/>
          <w:lang w:val="en-US" w:bidi="en-US"/>
        </w:rPr>
        <w:t>Z</w:t>
      </w:r>
      <w:r>
        <w:rPr>
          <w:lang w:val="en-US" w:bidi="en-US"/>
        </w:rPr>
        <w:t xml:space="preserve"> = -1.04, </w:t>
      </w:r>
      <w:r>
        <w:rPr>
          <w:i/>
          <w:lang w:val="en-US" w:bidi="en-US"/>
        </w:rPr>
        <w:t>p</w:t>
      </w:r>
      <w:r>
        <w:rPr>
          <w:lang w:val="en-US" w:bidi="en-US"/>
        </w:rPr>
        <w:t xml:space="preserve"> = 0.29).</w:t>
      </w:r>
      <w:r w:rsidR="002211F2">
        <w:rPr>
          <w:lang w:val="en-US" w:bidi="en-US"/>
        </w:rPr>
        <w:t xml:space="preserve"> </w:t>
      </w:r>
      <w:r>
        <w:rPr>
          <w:lang w:val="en-US" w:bidi="en-US"/>
        </w:rPr>
        <w:t>Age range was related to performance rate with pharmacists over 50 years of age having the highest performed intervention rate followed by pharmacists in the 20-30 year age range (</w:t>
      </w:r>
      <w:r w:rsidRPr="007D0A7C">
        <w:rPr>
          <w:rFonts w:cstheme="minorHAnsi"/>
          <w:i/>
          <w:lang w:val="en-US" w:bidi="en-US"/>
        </w:rPr>
        <w:t>Kruskal-Wallis χ</w:t>
      </w:r>
      <w:r w:rsidRPr="007D0A7C">
        <w:rPr>
          <w:rFonts w:cstheme="minorHAnsi"/>
          <w:i/>
          <w:vertAlign w:val="superscript"/>
          <w:lang w:val="en-US" w:bidi="en-US"/>
        </w:rPr>
        <w:t>2</w:t>
      </w:r>
      <w:r>
        <w:rPr>
          <w:lang w:val="en-US" w:bidi="en-US"/>
        </w:rPr>
        <w:t xml:space="preserve"> = 16.76, </w:t>
      </w:r>
      <w:r>
        <w:rPr>
          <w:i/>
          <w:lang w:val="en-US" w:bidi="en-US"/>
        </w:rPr>
        <w:t>df</w:t>
      </w:r>
      <w:r>
        <w:rPr>
          <w:lang w:val="en-US" w:bidi="en-US"/>
        </w:rPr>
        <w:t xml:space="preserve"> = 3, </w:t>
      </w:r>
      <w:r>
        <w:rPr>
          <w:i/>
          <w:lang w:val="en-US" w:bidi="en-US"/>
        </w:rPr>
        <w:t>p</w:t>
      </w:r>
      <w:r>
        <w:rPr>
          <w:lang w:val="en-US" w:bidi="en-US"/>
        </w:rPr>
        <w:t xml:space="preserve"> = 0.001); however, there was no relationship seen between graduation year and the performed intervention rate (</w:t>
      </w:r>
      <w:r>
        <w:rPr>
          <w:i/>
          <w:lang w:val="en-US" w:bidi="en-US"/>
        </w:rPr>
        <w:t>Spearman’s rho</w:t>
      </w:r>
      <w:r>
        <w:rPr>
          <w:lang w:val="en-US" w:bidi="en-US"/>
        </w:rPr>
        <w:t xml:space="preserve"> = 0.03, </w:t>
      </w:r>
      <w:r>
        <w:rPr>
          <w:i/>
          <w:lang w:val="en-US" w:bidi="en-US"/>
        </w:rPr>
        <w:t>N</w:t>
      </w:r>
      <w:r>
        <w:rPr>
          <w:lang w:val="en-US" w:bidi="en-US"/>
        </w:rPr>
        <w:t xml:space="preserve"> = 78, </w:t>
      </w:r>
      <w:r>
        <w:rPr>
          <w:i/>
          <w:lang w:val="en-US" w:bidi="en-US"/>
        </w:rPr>
        <w:t>p</w:t>
      </w:r>
      <w:r>
        <w:rPr>
          <w:lang w:val="en-US" w:bidi="en-US"/>
        </w:rPr>
        <w:t xml:space="preserve"> = 0.79).</w:t>
      </w:r>
    </w:p>
    <w:p w:rsidR="004E55F2" w:rsidRDefault="004E55F2" w:rsidP="004E55F2">
      <w:pPr>
        <w:pStyle w:val="Heading4"/>
        <w:numPr>
          <w:ilvl w:val="3"/>
          <w:numId w:val="1"/>
        </w:numPr>
        <w:ind w:left="1134" w:hanging="1134"/>
      </w:pPr>
      <w:r>
        <w:t>Additional qualifications</w:t>
      </w:r>
    </w:p>
    <w:p w:rsidR="004E55F2" w:rsidRDefault="004E55F2" w:rsidP="004E55F2">
      <w:pPr>
        <w:rPr>
          <w:lang w:val="en-US" w:bidi="en-US"/>
        </w:rPr>
      </w:pPr>
      <w:r>
        <w:rPr>
          <w:lang w:val="en-US" w:bidi="en-US"/>
        </w:rPr>
        <w:t>Interestingly, there was no apparent relationship between pharmacists with additional qualifications and their intervention performance rate (</w:t>
      </w:r>
      <w:r w:rsidRPr="007D0A7C">
        <w:rPr>
          <w:rFonts w:cstheme="minorHAnsi"/>
          <w:i/>
          <w:lang w:val="en-US" w:bidi="en-US"/>
        </w:rPr>
        <w:t>Kruskal-Wallis χ</w:t>
      </w:r>
      <w:r w:rsidRPr="007D0A7C">
        <w:rPr>
          <w:rFonts w:cstheme="minorHAnsi"/>
          <w:i/>
          <w:vertAlign w:val="superscript"/>
          <w:lang w:val="en-US" w:bidi="en-US"/>
        </w:rPr>
        <w:t>2</w:t>
      </w:r>
      <w:r>
        <w:rPr>
          <w:lang w:val="en-US" w:bidi="en-US"/>
        </w:rPr>
        <w:t xml:space="preserve"> = 2.05, </w:t>
      </w:r>
      <w:proofErr w:type="gramStart"/>
      <w:r>
        <w:rPr>
          <w:i/>
          <w:lang w:val="en-US" w:bidi="en-US"/>
        </w:rPr>
        <w:t>df</w:t>
      </w:r>
      <w:proofErr w:type="gramEnd"/>
      <w:r>
        <w:rPr>
          <w:lang w:val="en-US" w:bidi="en-US"/>
        </w:rPr>
        <w:t xml:space="preserve"> = 2, </w:t>
      </w:r>
      <w:r>
        <w:rPr>
          <w:i/>
          <w:lang w:val="en-US" w:bidi="en-US"/>
        </w:rPr>
        <w:t>p</w:t>
      </w:r>
      <w:r>
        <w:rPr>
          <w:lang w:val="en-US" w:bidi="en-US"/>
        </w:rPr>
        <w:t xml:space="preserve"> = 0.37), despite a trend being seen in the overall analysis of pharmacist’s documented intervention rates (see section </w:t>
      </w:r>
      <w:r>
        <w:rPr>
          <w:lang w:val="en-US" w:bidi="en-US"/>
        </w:rPr>
        <w:fldChar w:fldCharType="begin"/>
      </w:r>
      <w:r>
        <w:rPr>
          <w:lang w:val="en-US" w:bidi="en-US"/>
        </w:rPr>
        <w:instrText xml:space="preserve"> REF _Ref274835085 \r \h </w:instrText>
      </w:r>
      <w:r>
        <w:rPr>
          <w:lang w:val="en-US" w:bidi="en-US"/>
        </w:rPr>
      </w:r>
      <w:r>
        <w:rPr>
          <w:lang w:val="en-US" w:bidi="en-US"/>
        </w:rPr>
        <w:fldChar w:fldCharType="separate"/>
      </w:r>
      <w:r>
        <w:rPr>
          <w:lang w:val="en-US" w:bidi="en-US"/>
        </w:rPr>
        <w:t>1.2.4</w:t>
      </w:r>
      <w:r>
        <w:rPr>
          <w:lang w:val="en-US" w:bidi="en-US"/>
        </w:rPr>
        <w:fldChar w:fldCharType="end"/>
      </w:r>
      <w:r>
        <w:rPr>
          <w:lang w:val="en-US" w:bidi="en-US"/>
        </w:rPr>
        <w:t>).</w:t>
      </w:r>
      <w:r w:rsidR="002211F2">
        <w:rPr>
          <w:lang w:val="en-US" w:bidi="en-US"/>
        </w:rPr>
        <w:t xml:space="preserve"> </w:t>
      </w:r>
      <w:r>
        <w:rPr>
          <w:lang w:val="en-US" w:bidi="en-US"/>
        </w:rPr>
        <w:t>HMR accreditation was also not an influencing factor, with no difference seen between the 15 accredited and 63 non-accredited pharmacists (</w:t>
      </w:r>
      <w:r>
        <w:rPr>
          <w:i/>
          <w:lang w:val="en-US" w:bidi="en-US"/>
        </w:rPr>
        <w:t>Mann-Whitney U</w:t>
      </w:r>
      <w:r>
        <w:rPr>
          <w:lang w:val="en-US" w:bidi="en-US"/>
        </w:rPr>
        <w:t xml:space="preserve"> = 392.00, </w:t>
      </w:r>
      <w:r>
        <w:rPr>
          <w:i/>
          <w:lang w:val="en-US" w:bidi="en-US"/>
        </w:rPr>
        <w:t>Z</w:t>
      </w:r>
      <w:r>
        <w:rPr>
          <w:lang w:val="en-US" w:bidi="en-US"/>
        </w:rPr>
        <w:t xml:space="preserve"> = -1.02, </w:t>
      </w:r>
      <w:r>
        <w:rPr>
          <w:i/>
          <w:lang w:val="en-US" w:bidi="en-US"/>
        </w:rPr>
        <w:t>p</w:t>
      </w:r>
      <w:r>
        <w:rPr>
          <w:lang w:val="en-US" w:bidi="en-US"/>
        </w:rPr>
        <w:t xml:space="preserve"> = 0.31).</w:t>
      </w:r>
    </w:p>
    <w:p w:rsidR="004E55F2" w:rsidRDefault="004E55F2" w:rsidP="004E55F2">
      <w:pPr>
        <w:pStyle w:val="Heading4"/>
        <w:numPr>
          <w:ilvl w:val="3"/>
          <w:numId w:val="1"/>
        </w:numPr>
        <w:ind w:left="1134" w:hanging="1134"/>
      </w:pPr>
      <w:r>
        <w:t>CPD activity</w:t>
      </w:r>
    </w:p>
    <w:p w:rsidR="004E55F2" w:rsidRDefault="004E55F2" w:rsidP="004E55F2">
      <w:pPr>
        <w:rPr>
          <w:lang w:val="en-US" w:bidi="en-US"/>
        </w:rPr>
      </w:pPr>
      <w:r>
        <w:rPr>
          <w:lang w:val="en-US" w:bidi="en-US"/>
        </w:rPr>
        <w:t>CPD activity also did not appear to have a relationship with intervention performance rate in this group of pharmacists (</w:t>
      </w:r>
      <w:r w:rsidRPr="007D0A7C">
        <w:rPr>
          <w:rFonts w:cstheme="minorHAnsi"/>
          <w:i/>
          <w:lang w:val="en-US" w:bidi="en-US"/>
        </w:rPr>
        <w:t>Kruskal-Wallis χ</w:t>
      </w:r>
      <w:r w:rsidRPr="007D0A7C">
        <w:rPr>
          <w:rFonts w:cstheme="minorHAnsi"/>
          <w:i/>
          <w:vertAlign w:val="superscript"/>
          <w:lang w:val="en-US" w:bidi="en-US"/>
        </w:rPr>
        <w:t>2</w:t>
      </w:r>
      <w:r>
        <w:rPr>
          <w:lang w:val="en-US" w:bidi="en-US"/>
        </w:rPr>
        <w:t xml:space="preserve"> = 5.91, </w:t>
      </w:r>
      <w:proofErr w:type="gramStart"/>
      <w:r>
        <w:rPr>
          <w:i/>
          <w:lang w:val="en-US" w:bidi="en-US"/>
        </w:rPr>
        <w:t>df</w:t>
      </w:r>
      <w:proofErr w:type="gramEnd"/>
      <w:r>
        <w:rPr>
          <w:lang w:val="en-US" w:bidi="en-US"/>
        </w:rPr>
        <w:t xml:space="preserve"> = 3, </w:t>
      </w:r>
      <w:r>
        <w:rPr>
          <w:i/>
          <w:lang w:val="en-US" w:bidi="en-US"/>
        </w:rPr>
        <w:t>p</w:t>
      </w:r>
      <w:r>
        <w:rPr>
          <w:lang w:val="en-US" w:bidi="en-US"/>
        </w:rPr>
        <w:t xml:space="preserve"> = 0.12).</w:t>
      </w:r>
    </w:p>
    <w:p w:rsidR="004E55F2" w:rsidRDefault="004E55F2" w:rsidP="004E55F2">
      <w:pPr>
        <w:pStyle w:val="Heading4"/>
        <w:numPr>
          <w:ilvl w:val="3"/>
          <w:numId w:val="1"/>
        </w:numPr>
        <w:ind w:left="1134" w:hanging="1134"/>
      </w:pPr>
      <w:r>
        <w:t>Workload</w:t>
      </w:r>
    </w:p>
    <w:p w:rsidR="004E55F2" w:rsidRDefault="004E55F2" w:rsidP="004E55F2">
      <w:pPr>
        <w:rPr>
          <w:lang w:val="en-US" w:bidi="en-US"/>
        </w:rPr>
      </w:pPr>
      <w:r>
        <w:rPr>
          <w:lang w:val="en-US" w:bidi="en-US"/>
        </w:rPr>
        <w:t>There did not appear to be a relationship between the intervention performance rate and the average pharmacist workload within the pharmacy (</w:t>
      </w:r>
      <w:r>
        <w:rPr>
          <w:i/>
          <w:lang w:val="en-US" w:bidi="en-US"/>
        </w:rPr>
        <w:t>Spearman’s rho</w:t>
      </w:r>
      <w:r>
        <w:rPr>
          <w:lang w:val="en-US" w:bidi="en-US"/>
        </w:rPr>
        <w:t xml:space="preserve"> = -0.15, </w:t>
      </w:r>
      <w:r>
        <w:rPr>
          <w:i/>
          <w:lang w:val="en-US" w:bidi="en-US"/>
        </w:rPr>
        <w:t>N</w:t>
      </w:r>
      <w:r>
        <w:rPr>
          <w:lang w:val="en-US" w:bidi="en-US"/>
        </w:rPr>
        <w:t xml:space="preserve"> = 85, </w:t>
      </w:r>
      <w:r>
        <w:rPr>
          <w:i/>
          <w:lang w:val="en-US" w:bidi="en-US"/>
        </w:rPr>
        <w:t>p</w:t>
      </w:r>
      <w:r>
        <w:rPr>
          <w:lang w:val="en-US" w:bidi="en-US"/>
        </w:rPr>
        <w:t xml:space="preserve"> = 0.16).</w:t>
      </w:r>
    </w:p>
    <w:p w:rsidR="004E55F2" w:rsidRDefault="004E55F2" w:rsidP="004E55F2">
      <w:pPr>
        <w:pStyle w:val="Heading4"/>
        <w:numPr>
          <w:ilvl w:val="3"/>
          <w:numId w:val="1"/>
        </w:numPr>
        <w:ind w:left="1134" w:hanging="1134"/>
      </w:pPr>
      <w:r>
        <w:lastRenderedPageBreak/>
        <w:t>Professionalism score</w:t>
      </w:r>
    </w:p>
    <w:p w:rsidR="004E55F2" w:rsidRPr="00615823" w:rsidRDefault="004E55F2" w:rsidP="004E55F2">
      <w:pPr>
        <w:rPr>
          <w:lang w:val="en-US" w:bidi="en-US"/>
        </w:rPr>
      </w:pPr>
      <w:r>
        <w:rPr>
          <w:lang w:val="en-US" w:bidi="en-US"/>
        </w:rPr>
        <w:t>The professionalism score that was run on PROMISe pharmacists had only previously been tested on undergraduate pharmacy students. Therefore, it was compared to the Hall’s Professionalism Survey that was completed by observed pharmacists (see Appendix 20).</w:t>
      </w:r>
      <w:r w:rsidR="002211F2">
        <w:rPr>
          <w:lang w:val="en-US" w:bidi="en-US"/>
        </w:rPr>
        <w:t xml:space="preserve"> </w:t>
      </w:r>
      <w:r>
        <w:rPr>
          <w:lang w:val="en-US" w:bidi="en-US"/>
        </w:rPr>
        <w:t>Of the 149 pharmacists, 143 completed the Hall’s Professionalism Survey for Pharmacists;</w:t>
      </w:r>
      <w:r>
        <w:rPr>
          <w:lang w:val="en-US" w:bidi="en-US"/>
        </w:rPr>
        <w:fldChar w:fldCharType="begin"/>
      </w:r>
      <w:r>
        <w:rPr>
          <w:lang w:val="en-US" w:bidi="en-US"/>
        </w:rPr>
        <w:instrText xml:space="preserve"> ADDIN EN.CITE &lt;EndNote&gt;&lt;Cite&gt;&lt;Author&gt;Schack&lt;/Author&gt;&lt;Year&gt;1979&lt;/Year&gt;&lt;RecNum&gt;673&lt;/RecNum&gt;&lt;DisplayText&gt;&lt;style face="superscript"&gt;8&lt;/style&gt; &lt;/DisplayText&gt;&lt;record&gt;&lt;rec-number&gt;673&lt;/rec-number&gt;&lt;foreign-keys&gt;&lt;key app="EN" db-id="9xazdvxsjdsxxkepedvv5e5frwwpesf2zp0t"&gt;673&lt;/key&gt;&lt;/foreign-keys&gt;&lt;ref-type name="Journal Article"&gt;17&lt;/ref-type&gt;&lt;contributors&gt;&lt;authors&gt;&lt;author&gt;Schack, D. W.&lt;/author&gt;&lt;author&gt;Hepler, C. D.&lt;/author&gt;&lt;/authors&gt;&lt;/contributors&gt;&lt;auth-address&gt;Univ Iowa,Hosp &amp;amp; Clin,Coll Pharm,Div Clin Hosp Pharm,Iowa City,Ia 52242&lt;/auth-address&gt;&lt;titles&gt;&lt;title&gt;Modification of Halls Professionalism Scale for Use with Pharmacists&lt;/title&gt;&lt;secondary-title&gt;Am J Pharm Educ&lt;/secondary-title&gt;&lt;alt-title&gt;Am J Pharm Educ&lt;/alt-title&gt;&lt;/titles&gt;&lt;periodical&gt;&lt;full-title&gt;American Journal of Pharmaceutical Education&lt;/full-title&gt;&lt;abbr-1&gt;Am J Pharm Educ&lt;/abbr-1&gt;&lt;/periodical&gt;&lt;alt-periodical&gt;&lt;full-title&gt;American Journal of Pharmaceutical Education&lt;/full-title&gt;&lt;abbr-1&gt;Am J Pharm Educ&lt;/abbr-1&gt;&lt;/alt-periodical&gt;&lt;pages&gt;98-104&lt;/pages&gt;&lt;volume&gt;43&lt;/volume&gt;&lt;number&gt;2&lt;/number&gt;&lt;dates&gt;&lt;year&gt;1979&lt;/year&gt;&lt;/dates&gt;&lt;isbn&gt;0002-9459&lt;/isbn&gt;&lt;accession-num&gt;ISI:A1979HC90200003&lt;/accession-num&gt;&lt;urls&gt;&lt;related-urls&gt;&lt;url&gt;&amp;lt;Go to ISI&amp;gt;://A1979HC90200003&lt;/url&gt;&lt;/related-urls&gt;&lt;/urls&gt;&lt;language&gt;English&lt;/language&gt;&lt;/record&gt;&lt;/Cite&gt;&lt;/EndNote&gt;</w:instrText>
      </w:r>
      <w:r>
        <w:rPr>
          <w:lang w:val="en-US" w:bidi="en-US"/>
        </w:rPr>
        <w:fldChar w:fldCharType="separate"/>
      </w:r>
      <w:hyperlink w:anchor="_ENREF_8" w:tooltip="Schack, 1979 #673" w:history="1">
        <w:r w:rsidRPr="00867416">
          <w:rPr>
            <w:noProof/>
            <w:vertAlign w:val="superscript"/>
            <w:lang w:val="en-US" w:bidi="en-US"/>
          </w:rPr>
          <w:t>8</w:t>
        </w:r>
      </w:hyperlink>
      <w:r>
        <w:rPr>
          <w:noProof/>
          <w:lang w:val="en-US" w:bidi="en-US"/>
        </w:rPr>
        <w:t xml:space="preserve"> </w:t>
      </w:r>
      <w:r>
        <w:rPr>
          <w:lang w:val="en-US" w:bidi="en-US"/>
        </w:rPr>
        <w:fldChar w:fldCharType="end"/>
      </w:r>
      <w:r>
        <w:rPr>
          <w:lang w:val="en-US" w:bidi="en-US"/>
        </w:rPr>
        <w:t>however, only 77 of these pharmacists had completed the original professionalism survey.</w:t>
      </w:r>
      <w:r w:rsidR="002211F2">
        <w:rPr>
          <w:lang w:val="en-US" w:bidi="en-US"/>
        </w:rPr>
        <w:t xml:space="preserve"> </w:t>
      </w:r>
      <w:r>
        <w:rPr>
          <w:lang w:val="en-US" w:bidi="en-US"/>
        </w:rPr>
        <w:t>Analysis showed good correlation between the scores (</w:t>
      </w:r>
      <w:r>
        <w:rPr>
          <w:i/>
          <w:lang w:val="en-US" w:bidi="en-US"/>
        </w:rPr>
        <w:t>Spearman’s rho</w:t>
      </w:r>
      <w:r>
        <w:rPr>
          <w:lang w:val="en-US" w:bidi="en-US"/>
        </w:rPr>
        <w:t xml:space="preserve"> = 0.355, </w:t>
      </w:r>
      <w:r>
        <w:rPr>
          <w:i/>
          <w:lang w:val="en-US" w:bidi="en-US"/>
        </w:rPr>
        <w:t>N</w:t>
      </w:r>
      <w:r>
        <w:rPr>
          <w:lang w:val="en-US" w:bidi="en-US"/>
        </w:rPr>
        <w:t xml:space="preserve"> = 77, </w:t>
      </w:r>
      <w:r>
        <w:rPr>
          <w:i/>
          <w:lang w:val="en-US" w:bidi="en-US"/>
        </w:rPr>
        <w:t>p</w:t>
      </w:r>
      <w:r>
        <w:rPr>
          <w:lang w:val="en-US" w:bidi="en-US"/>
        </w:rPr>
        <w:t xml:space="preserve"> = 0.002) indicating that the initial professionalism survey was a good predictor of the Hall’s professionalism score.</w:t>
      </w:r>
    </w:p>
    <w:p w:rsidR="004E55F2" w:rsidRPr="00BB2CAA" w:rsidRDefault="004E55F2" w:rsidP="004E55F2">
      <w:pPr>
        <w:rPr>
          <w:lang w:val="en-US" w:bidi="en-US"/>
        </w:rPr>
      </w:pPr>
      <w:r>
        <w:rPr>
          <w:lang w:val="en-US" w:bidi="en-US"/>
        </w:rPr>
        <w:t>For the pharmacists within the software pharmacies, there did not appear to be a relationship between the intervention performance rate and either professionalism score (</w:t>
      </w:r>
      <w:r>
        <w:rPr>
          <w:i/>
          <w:lang w:val="en-US" w:bidi="en-US"/>
        </w:rPr>
        <w:t>Spearman’s rho</w:t>
      </w:r>
      <w:r>
        <w:rPr>
          <w:lang w:val="en-US" w:bidi="en-US"/>
        </w:rPr>
        <w:t xml:space="preserve"> = 0.12, </w:t>
      </w:r>
      <w:r>
        <w:rPr>
          <w:i/>
          <w:lang w:val="en-US" w:bidi="en-US"/>
        </w:rPr>
        <w:t>N</w:t>
      </w:r>
      <w:r>
        <w:rPr>
          <w:lang w:val="en-US" w:bidi="en-US"/>
        </w:rPr>
        <w:t xml:space="preserve"> = 77, </w:t>
      </w:r>
      <w:r>
        <w:rPr>
          <w:i/>
          <w:lang w:val="en-US" w:bidi="en-US"/>
        </w:rPr>
        <w:t>p</w:t>
      </w:r>
      <w:r>
        <w:rPr>
          <w:lang w:val="en-US" w:bidi="en-US"/>
        </w:rPr>
        <w:t xml:space="preserve"> = 0.29 for the initial professionalism survey; </w:t>
      </w:r>
      <w:r>
        <w:rPr>
          <w:i/>
          <w:lang w:val="en-US" w:bidi="en-US"/>
        </w:rPr>
        <w:t>Spearman’s rho</w:t>
      </w:r>
      <w:r>
        <w:rPr>
          <w:lang w:val="en-US" w:bidi="en-US"/>
        </w:rPr>
        <w:t xml:space="preserve"> = -0.07, </w:t>
      </w:r>
      <w:r>
        <w:rPr>
          <w:i/>
          <w:lang w:val="en-US" w:bidi="en-US"/>
        </w:rPr>
        <w:t>N</w:t>
      </w:r>
      <w:r>
        <w:rPr>
          <w:lang w:val="en-US" w:bidi="en-US"/>
        </w:rPr>
        <w:t xml:space="preserve"> = 83, </w:t>
      </w:r>
      <w:r>
        <w:rPr>
          <w:i/>
          <w:lang w:val="en-US" w:bidi="en-US"/>
        </w:rPr>
        <w:t>p</w:t>
      </w:r>
      <w:r>
        <w:rPr>
          <w:lang w:val="en-US" w:bidi="en-US"/>
        </w:rPr>
        <w:t xml:space="preserve"> = 0.51 for the Hall’s professionalism survey).</w:t>
      </w:r>
    </w:p>
    <w:p w:rsidR="004E55F2" w:rsidRDefault="004E55F2" w:rsidP="004E55F2">
      <w:pPr>
        <w:pStyle w:val="Heading4"/>
        <w:numPr>
          <w:ilvl w:val="3"/>
          <w:numId w:val="1"/>
        </w:numPr>
        <w:ind w:left="1134" w:hanging="1134"/>
      </w:pPr>
      <w:r>
        <w:t>Empathy score</w:t>
      </w:r>
    </w:p>
    <w:p w:rsidR="004E55F2" w:rsidRPr="00BB2CAA" w:rsidRDefault="004E55F2" w:rsidP="004E55F2">
      <w:pPr>
        <w:rPr>
          <w:lang w:val="en-US" w:bidi="en-US"/>
        </w:rPr>
      </w:pPr>
      <w:r>
        <w:rPr>
          <w:lang w:val="en-US" w:bidi="en-US"/>
        </w:rPr>
        <w:t>Seventy-six observed pharmacists completed the empathy survey.</w:t>
      </w:r>
      <w:r w:rsidR="002211F2">
        <w:rPr>
          <w:lang w:val="en-US" w:bidi="en-US"/>
        </w:rPr>
        <w:t xml:space="preserve"> </w:t>
      </w:r>
      <w:r>
        <w:rPr>
          <w:lang w:val="en-US" w:bidi="en-US"/>
        </w:rPr>
        <w:t>There did not appear to be a relationship between the intervention performance rate and the pharmacist’s empathy score (</w:t>
      </w:r>
      <w:r>
        <w:rPr>
          <w:i/>
          <w:lang w:val="en-US" w:bidi="en-US"/>
        </w:rPr>
        <w:t>Spearman’s rho</w:t>
      </w:r>
      <w:r>
        <w:rPr>
          <w:lang w:val="en-US" w:bidi="en-US"/>
        </w:rPr>
        <w:t xml:space="preserve"> = -0.02, </w:t>
      </w:r>
      <w:r>
        <w:rPr>
          <w:i/>
          <w:lang w:val="en-US" w:bidi="en-US"/>
        </w:rPr>
        <w:t>N</w:t>
      </w:r>
      <w:r>
        <w:rPr>
          <w:lang w:val="en-US" w:bidi="en-US"/>
        </w:rPr>
        <w:t xml:space="preserve"> = 76, </w:t>
      </w:r>
      <w:r>
        <w:rPr>
          <w:i/>
          <w:lang w:val="en-US" w:bidi="en-US"/>
        </w:rPr>
        <w:t>p</w:t>
      </w:r>
      <w:r>
        <w:rPr>
          <w:lang w:val="en-US" w:bidi="en-US"/>
        </w:rPr>
        <w:t xml:space="preserve"> = 0.84).</w:t>
      </w:r>
    </w:p>
    <w:p w:rsidR="004E55F2" w:rsidRDefault="004E55F2" w:rsidP="004E55F2">
      <w:pPr>
        <w:pStyle w:val="Heading4"/>
        <w:numPr>
          <w:ilvl w:val="3"/>
          <w:numId w:val="1"/>
        </w:numPr>
        <w:ind w:left="1134" w:hanging="1134"/>
      </w:pPr>
      <w:r>
        <w:t>Clinical knowledge survey score</w:t>
      </w:r>
    </w:p>
    <w:p w:rsidR="004E55F2" w:rsidRPr="00BB2CAA" w:rsidRDefault="004E55F2" w:rsidP="004E55F2">
      <w:pPr>
        <w:rPr>
          <w:lang w:val="en-US" w:bidi="en-US"/>
        </w:rPr>
      </w:pPr>
      <w:r>
        <w:rPr>
          <w:lang w:val="en-US" w:bidi="en-US"/>
        </w:rPr>
        <w:t>Seventy-one observed pharmacists completed the clinical knowledge survey.</w:t>
      </w:r>
      <w:r w:rsidR="002211F2">
        <w:rPr>
          <w:lang w:val="en-US" w:bidi="en-US"/>
        </w:rPr>
        <w:t xml:space="preserve"> </w:t>
      </w:r>
      <w:r>
        <w:rPr>
          <w:lang w:val="en-US" w:bidi="en-US"/>
        </w:rPr>
        <w:t>There did not appear to be a relationship between the intervention performance rate and the pharmacist’s clinical knowledge score (</w:t>
      </w:r>
      <w:r>
        <w:rPr>
          <w:i/>
          <w:lang w:val="en-US" w:bidi="en-US"/>
        </w:rPr>
        <w:t>Spearman’s rho</w:t>
      </w:r>
      <w:r>
        <w:rPr>
          <w:lang w:val="en-US" w:bidi="en-US"/>
        </w:rPr>
        <w:t xml:space="preserve"> = 0.11, </w:t>
      </w:r>
      <w:r>
        <w:rPr>
          <w:i/>
          <w:lang w:val="en-US" w:bidi="en-US"/>
        </w:rPr>
        <w:t>N</w:t>
      </w:r>
      <w:r>
        <w:rPr>
          <w:lang w:val="en-US" w:bidi="en-US"/>
        </w:rPr>
        <w:t xml:space="preserve"> = 71, </w:t>
      </w:r>
      <w:r>
        <w:rPr>
          <w:i/>
          <w:lang w:val="en-US" w:bidi="en-US"/>
        </w:rPr>
        <w:t>p</w:t>
      </w:r>
      <w:r>
        <w:rPr>
          <w:lang w:val="en-US" w:bidi="en-US"/>
        </w:rPr>
        <w:t xml:space="preserve"> = 0.37).</w:t>
      </w:r>
    </w:p>
    <w:p w:rsidR="004E55F2" w:rsidRDefault="004E55F2" w:rsidP="004E55F2">
      <w:pPr>
        <w:pStyle w:val="Heading4"/>
        <w:numPr>
          <w:ilvl w:val="3"/>
          <w:numId w:val="1"/>
        </w:numPr>
        <w:ind w:left="1134" w:hanging="1134"/>
      </w:pPr>
      <w:r>
        <w:t>Training level</w:t>
      </w:r>
    </w:p>
    <w:p w:rsidR="004E55F2" w:rsidRPr="00BB2CAA" w:rsidRDefault="004E55F2" w:rsidP="004E55F2">
      <w:pPr>
        <w:rPr>
          <w:lang w:val="en-US" w:bidi="en-US"/>
        </w:rPr>
      </w:pPr>
      <w:r>
        <w:rPr>
          <w:lang w:val="en-US" w:bidi="en-US"/>
        </w:rPr>
        <w:t>There did not appear to be a relationship between the intervention performance rate and the pharmacist’s level of training (</w:t>
      </w:r>
      <w:r w:rsidRPr="007D0A7C">
        <w:rPr>
          <w:rFonts w:cstheme="minorHAnsi"/>
          <w:i/>
          <w:lang w:val="en-US" w:bidi="en-US"/>
        </w:rPr>
        <w:t>Kruskal-Wallis χ</w:t>
      </w:r>
      <w:r w:rsidRPr="007D0A7C">
        <w:rPr>
          <w:rFonts w:cstheme="minorHAnsi"/>
          <w:i/>
          <w:vertAlign w:val="superscript"/>
          <w:lang w:val="en-US" w:bidi="en-US"/>
        </w:rPr>
        <w:t>2</w:t>
      </w:r>
      <w:r>
        <w:rPr>
          <w:lang w:val="en-US" w:bidi="en-US"/>
        </w:rPr>
        <w:t xml:space="preserve"> = 2.98, </w:t>
      </w:r>
      <w:proofErr w:type="gramStart"/>
      <w:r>
        <w:rPr>
          <w:i/>
          <w:lang w:val="en-US" w:bidi="en-US"/>
        </w:rPr>
        <w:t>df</w:t>
      </w:r>
      <w:proofErr w:type="gramEnd"/>
      <w:r>
        <w:rPr>
          <w:lang w:val="en-US" w:bidi="en-US"/>
        </w:rPr>
        <w:t xml:space="preserve"> = 3, </w:t>
      </w:r>
      <w:r>
        <w:rPr>
          <w:i/>
          <w:lang w:val="en-US" w:bidi="en-US"/>
        </w:rPr>
        <w:t>p</w:t>
      </w:r>
      <w:r>
        <w:rPr>
          <w:lang w:val="en-US" w:bidi="en-US"/>
        </w:rPr>
        <w:t xml:space="preserve"> = 0.40).</w:t>
      </w:r>
    </w:p>
    <w:p w:rsidR="004E55F2" w:rsidRDefault="004E55F2" w:rsidP="004E55F2">
      <w:pPr>
        <w:pStyle w:val="Heading4"/>
        <w:numPr>
          <w:ilvl w:val="3"/>
          <w:numId w:val="1"/>
        </w:numPr>
        <w:ind w:left="1134" w:hanging="1134"/>
      </w:pPr>
      <w:r>
        <w:t>A</w:t>
      </w:r>
      <w:r w:rsidRPr="00C9057A">
        <w:t>daptab</w:t>
      </w:r>
      <w:r>
        <w:t>ility</w:t>
      </w:r>
      <w:r w:rsidRPr="00C9057A">
        <w:t>/willingness to change</w:t>
      </w:r>
      <w:r>
        <w:t xml:space="preserve"> score</w:t>
      </w:r>
    </w:p>
    <w:p w:rsidR="004E55F2" w:rsidRPr="00BB2CAA" w:rsidRDefault="004E55F2" w:rsidP="004E55F2">
      <w:pPr>
        <w:rPr>
          <w:lang w:val="en-US" w:bidi="en-US"/>
        </w:rPr>
      </w:pPr>
      <w:r>
        <w:rPr>
          <w:lang w:val="en-US" w:bidi="en-US"/>
        </w:rPr>
        <w:t>There did not appear to be a relationship between the intervention performance rate and the pharmacist’s adaptability/willingness to change score (</w:t>
      </w:r>
      <w:r>
        <w:rPr>
          <w:i/>
          <w:lang w:val="en-US" w:bidi="en-US"/>
        </w:rPr>
        <w:t>Spearman’s rho</w:t>
      </w:r>
      <w:r>
        <w:rPr>
          <w:lang w:val="en-US" w:bidi="en-US"/>
        </w:rPr>
        <w:t xml:space="preserve"> = -0.03, </w:t>
      </w:r>
      <w:r>
        <w:rPr>
          <w:i/>
          <w:lang w:val="en-US" w:bidi="en-US"/>
        </w:rPr>
        <w:t>N</w:t>
      </w:r>
      <w:r>
        <w:rPr>
          <w:lang w:val="en-US" w:bidi="en-US"/>
        </w:rPr>
        <w:t xml:space="preserve"> = 78, </w:t>
      </w:r>
      <w:r>
        <w:rPr>
          <w:i/>
          <w:lang w:val="en-US" w:bidi="en-US"/>
        </w:rPr>
        <w:t>p</w:t>
      </w:r>
      <w:r>
        <w:rPr>
          <w:lang w:val="en-US" w:bidi="en-US"/>
        </w:rPr>
        <w:t xml:space="preserve"> = 0.78).</w:t>
      </w:r>
      <w:r w:rsidR="002211F2">
        <w:rPr>
          <w:lang w:val="en-US" w:bidi="en-US"/>
        </w:rPr>
        <w:t xml:space="preserve"> </w:t>
      </w:r>
      <w:r>
        <w:rPr>
          <w:lang w:val="en-US" w:bidi="en-US"/>
        </w:rPr>
        <w:t xml:space="preserve">See </w:t>
      </w:r>
      <w:r w:rsidR="002211F2">
        <w:rPr>
          <w:lang w:val="en-US" w:bidi="en-US"/>
        </w:rPr>
        <w:t xml:space="preserve">Chapter 5 </w:t>
      </w:r>
      <w:r>
        <w:rPr>
          <w:lang w:val="en-US" w:bidi="en-US"/>
        </w:rPr>
        <w:t>for</w:t>
      </w:r>
      <w:r w:rsidR="002211F2">
        <w:rPr>
          <w:lang w:val="en-US" w:bidi="en-US"/>
        </w:rPr>
        <w:t xml:space="preserve"> the</w:t>
      </w:r>
      <w:r>
        <w:rPr>
          <w:lang w:val="en-US" w:bidi="en-US"/>
        </w:rPr>
        <w:t xml:space="preserve"> calculation process.</w:t>
      </w:r>
    </w:p>
    <w:p w:rsidR="004E55F2" w:rsidRDefault="004E55F2" w:rsidP="004E55F2">
      <w:pPr>
        <w:pStyle w:val="Heading4"/>
        <w:numPr>
          <w:ilvl w:val="3"/>
          <w:numId w:val="1"/>
        </w:numPr>
        <w:ind w:left="1134" w:hanging="1134"/>
      </w:pPr>
      <w:r>
        <w:lastRenderedPageBreak/>
        <w:t>Confidence score</w:t>
      </w:r>
    </w:p>
    <w:p w:rsidR="004E55F2" w:rsidRPr="00BB2CAA" w:rsidRDefault="004E55F2" w:rsidP="004E55F2">
      <w:pPr>
        <w:rPr>
          <w:lang w:val="en-US" w:bidi="en-US"/>
        </w:rPr>
      </w:pPr>
      <w:r>
        <w:rPr>
          <w:lang w:val="en-US" w:bidi="en-US"/>
        </w:rPr>
        <w:t>There did not appear to be a relationship between the intervention performance rate and the pharmacist’s confidence score (</w:t>
      </w:r>
      <w:r>
        <w:rPr>
          <w:i/>
          <w:lang w:val="en-US" w:bidi="en-US"/>
        </w:rPr>
        <w:t>Spearman’s rho</w:t>
      </w:r>
      <w:r>
        <w:rPr>
          <w:lang w:val="en-US" w:bidi="en-US"/>
        </w:rPr>
        <w:t xml:space="preserve"> = -0.03, </w:t>
      </w:r>
      <w:r>
        <w:rPr>
          <w:i/>
          <w:lang w:val="en-US" w:bidi="en-US"/>
        </w:rPr>
        <w:t>N</w:t>
      </w:r>
      <w:r>
        <w:rPr>
          <w:lang w:val="en-US" w:bidi="en-US"/>
        </w:rPr>
        <w:t xml:space="preserve"> = 78, </w:t>
      </w:r>
      <w:r>
        <w:rPr>
          <w:i/>
          <w:lang w:val="en-US" w:bidi="en-US"/>
        </w:rPr>
        <w:t>p</w:t>
      </w:r>
      <w:r>
        <w:rPr>
          <w:lang w:val="en-US" w:bidi="en-US"/>
        </w:rPr>
        <w:t xml:space="preserve"> = 0.83).</w:t>
      </w:r>
      <w:r w:rsidR="002211F2" w:rsidRPr="002211F2">
        <w:rPr>
          <w:lang w:val="en-US" w:bidi="en-US"/>
        </w:rPr>
        <w:t xml:space="preserve"> </w:t>
      </w:r>
      <w:r w:rsidR="002211F2">
        <w:rPr>
          <w:lang w:val="en-US" w:bidi="en-US"/>
        </w:rPr>
        <w:t>See Chapter 5 for the calculation process.</w:t>
      </w:r>
    </w:p>
    <w:p w:rsidR="004E55F2" w:rsidRDefault="004E55F2" w:rsidP="004E55F2">
      <w:pPr>
        <w:pStyle w:val="Heading3"/>
        <w:numPr>
          <w:ilvl w:val="2"/>
          <w:numId w:val="1"/>
        </w:numPr>
        <w:ind w:left="851" w:hanging="851"/>
      </w:pPr>
      <w:r>
        <w:t>Influencing factors on recorded rates</w:t>
      </w:r>
    </w:p>
    <w:p w:rsidR="004E55F2" w:rsidRPr="006731E1" w:rsidRDefault="004E55F2" w:rsidP="004E55F2">
      <w:pPr>
        <w:rPr>
          <w:color w:val="000000" w:themeColor="text1"/>
          <w:lang w:val="en-US" w:bidi="en-US"/>
        </w:rPr>
      </w:pPr>
      <w:r>
        <w:rPr>
          <w:color w:val="000000" w:themeColor="text1"/>
          <w:lang w:val="en-US" w:bidi="en-US"/>
        </w:rPr>
        <w:t>Of the 90</w:t>
      </w:r>
      <w:r w:rsidRPr="006731E1">
        <w:rPr>
          <w:color w:val="000000" w:themeColor="text1"/>
          <w:lang w:val="en-US" w:bidi="en-US"/>
        </w:rPr>
        <w:t xml:space="preserve"> pharmacists </w:t>
      </w:r>
      <w:r>
        <w:rPr>
          <w:color w:val="000000" w:themeColor="text1"/>
          <w:lang w:val="en-US" w:bidi="en-US"/>
        </w:rPr>
        <w:t>who</w:t>
      </w:r>
      <w:r w:rsidR="002211F2">
        <w:rPr>
          <w:color w:val="000000" w:themeColor="text1"/>
          <w:lang w:val="en-US" w:bidi="en-US"/>
        </w:rPr>
        <w:t xml:space="preserve"> </w:t>
      </w:r>
      <w:r w:rsidRPr="006731E1">
        <w:rPr>
          <w:color w:val="000000" w:themeColor="text1"/>
          <w:lang w:val="en-US" w:bidi="en-US"/>
        </w:rPr>
        <w:t>were observed in software pharmacies, 19 did not record any interventions during their observation period, resultin</w:t>
      </w:r>
      <w:r>
        <w:rPr>
          <w:color w:val="000000" w:themeColor="text1"/>
          <w:lang w:val="en-US" w:bidi="en-US"/>
        </w:rPr>
        <w:t xml:space="preserve">g in 66 pharmacists who had an observed </w:t>
      </w:r>
      <w:r w:rsidRPr="006731E1">
        <w:rPr>
          <w:color w:val="000000" w:themeColor="text1"/>
          <w:lang w:val="en-US" w:bidi="en-US"/>
        </w:rPr>
        <w:t>intervention recording rate.</w:t>
      </w:r>
      <w:r w:rsidR="002211F2">
        <w:rPr>
          <w:color w:val="000000" w:themeColor="text1"/>
          <w:lang w:val="en-US" w:bidi="en-US"/>
        </w:rPr>
        <w:t xml:space="preserve"> </w:t>
      </w:r>
      <w:r w:rsidRPr="006731E1">
        <w:rPr>
          <w:color w:val="000000" w:themeColor="text1"/>
          <w:lang w:val="en-US" w:bidi="en-US"/>
        </w:rPr>
        <w:t xml:space="preserve">Again, </w:t>
      </w:r>
      <w:r>
        <w:rPr>
          <w:color w:val="000000" w:themeColor="text1"/>
          <w:lang w:val="en-US" w:bidi="en-US"/>
        </w:rPr>
        <w:t xml:space="preserve">transformation </w:t>
      </w:r>
      <w:r w:rsidRPr="006731E1">
        <w:rPr>
          <w:rFonts w:cstheme="minorHAnsi"/>
          <w:color w:val="000000" w:themeColor="text1"/>
          <w:szCs w:val="24"/>
        </w:rPr>
        <w:t>did not improve the data (</w:t>
      </w:r>
      <w:r w:rsidRPr="006731E1">
        <w:rPr>
          <w:rFonts w:cstheme="minorHAnsi"/>
          <w:i/>
          <w:color w:val="000000" w:themeColor="text1"/>
          <w:szCs w:val="24"/>
        </w:rPr>
        <w:t>Kolmogorov-Smirnov statistic</w:t>
      </w:r>
      <w:r w:rsidRPr="006731E1">
        <w:rPr>
          <w:rFonts w:cstheme="minorHAnsi"/>
          <w:color w:val="000000" w:themeColor="text1"/>
          <w:szCs w:val="24"/>
        </w:rPr>
        <w:t xml:space="preserve"> = 0.12, </w:t>
      </w:r>
      <w:proofErr w:type="gramStart"/>
      <w:r w:rsidRPr="006731E1">
        <w:rPr>
          <w:rFonts w:cstheme="minorHAnsi"/>
          <w:i/>
          <w:color w:val="000000" w:themeColor="text1"/>
          <w:szCs w:val="24"/>
        </w:rPr>
        <w:t>df</w:t>
      </w:r>
      <w:proofErr w:type="gramEnd"/>
      <w:r w:rsidRPr="006731E1">
        <w:rPr>
          <w:rFonts w:cstheme="minorHAnsi"/>
          <w:color w:val="000000" w:themeColor="text1"/>
          <w:szCs w:val="24"/>
        </w:rPr>
        <w:t xml:space="preserve"> = 65, </w:t>
      </w:r>
      <w:r w:rsidRPr="006731E1">
        <w:rPr>
          <w:rFonts w:cstheme="minorHAnsi"/>
          <w:i/>
          <w:color w:val="000000" w:themeColor="text1"/>
          <w:szCs w:val="24"/>
        </w:rPr>
        <w:t>p</w:t>
      </w:r>
      <w:r w:rsidRPr="006731E1">
        <w:rPr>
          <w:rFonts w:cstheme="minorHAnsi"/>
          <w:color w:val="000000" w:themeColor="text1"/>
          <w:szCs w:val="24"/>
        </w:rPr>
        <w:t>= 0.02)</w:t>
      </w:r>
      <w:r>
        <w:rPr>
          <w:rFonts w:cstheme="minorHAnsi"/>
          <w:color w:val="000000" w:themeColor="text1"/>
          <w:szCs w:val="24"/>
        </w:rPr>
        <w:t xml:space="preserve">; </w:t>
      </w:r>
      <w:r w:rsidRPr="006731E1">
        <w:rPr>
          <w:rFonts w:cstheme="minorHAnsi"/>
          <w:color w:val="000000" w:themeColor="text1"/>
          <w:szCs w:val="24"/>
        </w:rPr>
        <w:t>therefore</w:t>
      </w:r>
      <w:r>
        <w:rPr>
          <w:rFonts w:cstheme="minorHAnsi"/>
          <w:color w:val="000000" w:themeColor="text1"/>
          <w:szCs w:val="24"/>
        </w:rPr>
        <w:t>,</w:t>
      </w:r>
      <w:r w:rsidRPr="006731E1">
        <w:rPr>
          <w:rFonts w:cstheme="minorHAnsi"/>
          <w:color w:val="000000" w:themeColor="text1"/>
          <w:szCs w:val="24"/>
        </w:rPr>
        <w:t xml:space="preserve"> non-parametric</w:t>
      </w:r>
      <w:r>
        <w:rPr>
          <w:rFonts w:cstheme="minorHAnsi"/>
          <w:color w:val="000000" w:themeColor="text1"/>
          <w:szCs w:val="24"/>
        </w:rPr>
        <w:t xml:space="preserve"> statistical </w:t>
      </w:r>
      <w:r w:rsidRPr="006731E1">
        <w:rPr>
          <w:rFonts w:cstheme="minorHAnsi"/>
          <w:color w:val="000000" w:themeColor="text1"/>
          <w:szCs w:val="24"/>
        </w:rPr>
        <w:t>tests were used.</w:t>
      </w:r>
      <w:r w:rsidR="002211F2">
        <w:rPr>
          <w:rFonts w:cstheme="minorHAnsi"/>
          <w:color w:val="000000" w:themeColor="text1"/>
          <w:szCs w:val="24"/>
        </w:rPr>
        <w:t xml:space="preserve"> </w:t>
      </w:r>
      <w:r>
        <w:rPr>
          <w:rFonts w:cstheme="minorHAnsi"/>
          <w:color w:val="000000" w:themeColor="text1"/>
          <w:szCs w:val="24"/>
        </w:rPr>
        <w:t>The effect of the observation week on the observed pharmacies was discussed previously in Chapter 4.</w:t>
      </w:r>
    </w:p>
    <w:p w:rsidR="004E55F2" w:rsidRPr="00572388" w:rsidRDefault="004E55F2" w:rsidP="004E55F2">
      <w:pPr>
        <w:pStyle w:val="Heading4"/>
        <w:numPr>
          <w:ilvl w:val="3"/>
          <w:numId w:val="1"/>
        </w:numPr>
        <w:ind w:left="1134" w:hanging="1134"/>
      </w:pPr>
      <w:r w:rsidRPr="00572388">
        <w:t>Demographics</w:t>
      </w:r>
    </w:p>
    <w:p w:rsidR="004E55F2" w:rsidRPr="00572388" w:rsidRDefault="004E55F2" w:rsidP="004E55F2">
      <w:pPr>
        <w:rPr>
          <w:color w:val="000000" w:themeColor="text1"/>
          <w:lang w:val="en-US" w:bidi="en-US"/>
        </w:rPr>
      </w:pPr>
      <w:r w:rsidRPr="00572388">
        <w:rPr>
          <w:color w:val="000000" w:themeColor="text1"/>
          <w:lang w:val="en-US" w:bidi="en-US"/>
        </w:rPr>
        <w:t>There was no significant difference in intervention recording rate between the two genders (</w:t>
      </w:r>
      <w:r w:rsidRPr="00572388">
        <w:rPr>
          <w:i/>
          <w:color w:val="000000" w:themeColor="text1"/>
          <w:lang w:val="en-US" w:bidi="en-US"/>
        </w:rPr>
        <w:t>Mann-Whitney U</w:t>
      </w:r>
      <w:r w:rsidRPr="00572388">
        <w:rPr>
          <w:color w:val="000000" w:themeColor="text1"/>
          <w:lang w:val="en-US" w:bidi="en-US"/>
        </w:rPr>
        <w:t xml:space="preserve"> = 694.00, </w:t>
      </w:r>
      <w:r w:rsidRPr="00572388">
        <w:rPr>
          <w:i/>
          <w:color w:val="000000" w:themeColor="text1"/>
          <w:lang w:val="en-US" w:bidi="en-US"/>
        </w:rPr>
        <w:t>Z</w:t>
      </w:r>
      <w:r w:rsidRPr="00572388">
        <w:rPr>
          <w:color w:val="000000" w:themeColor="text1"/>
          <w:lang w:val="en-US" w:bidi="en-US"/>
        </w:rPr>
        <w:t xml:space="preserve"> = -0.55, </w:t>
      </w:r>
      <w:r w:rsidRPr="00572388">
        <w:rPr>
          <w:i/>
          <w:color w:val="000000" w:themeColor="text1"/>
          <w:lang w:val="en-US" w:bidi="en-US"/>
        </w:rPr>
        <w:t>p</w:t>
      </w:r>
      <w:r w:rsidRPr="00572388">
        <w:rPr>
          <w:color w:val="000000" w:themeColor="text1"/>
          <w:lang w:val="en-US" w:bidi="en-US"/>
        </w:rPr>
        <w:t xml:space="preserve"> = 0.59) or the age range of the pharmacist (</w:t>
      </w:r>
      <w:r w:rsidRPr="00572388">
        <w:rPr>
          <w:rFonts w:cstheme="minorHAnsi"/>
          <w:i/>
          <w:color w:val="000000" w:themeColor="text1"/>
          <w:lang w:val="en-US" w:bidi="en-US"/>
        </w:rPr>
        <w:t>Kruskal-Wallis χ</w:t>
      </w:r>
      <w:r w:rsidRPr="00572388">
        <w:rPr>
          <w:rFonts w:cstheme="minorHAnsi"/>
          <w:i/>
          <w:color w:val="000000" w:themeColor="text1"/>
          <w:vertAlign w:val="superscript"/>
          <w:lang w:val="en-US" w:bidi="en-US"/>
        </w:rPr>
        <w:t>2</w:t>
      </w:r>
      <w:r w:rsidRPr="00572388">
        <w:rPr>
          <w:color w:val="000000" w:themeColor="text1"/>
          <w:lang w:val="en-US" w:bidi="en-US"/>
        </w:rPr>
        <w:t xml:space="preserve"> = </w:t>
      </w:r>
      <w:r>
        <w:rPr>
          <w:color w:val="000000" w:themeColor="text1"/>
          <w:lang w:val="en-US" w:bidi="en-US"/>
        </w:rPr>
        <w:t>5.83</w:t>
      </w:r>
      <w:r w:rsidRPr="00572388">
        <w:rPr>
          <w:color w:val="000000" w:themeColor="text1"/>
          <w:lang w:val="en-US" w:bidi="en-US"/>
        </w:rPr>
        <w:t xml:space="preserve">, </w:t>
      </w:r>
      <w:proofErr w:type="gramStart"/>
      <w:r w:rsidRPr="00572388">
        <w:rPr>
          <w:i/>
          <w:color w:val="000000" w:themeColor="text1"/>
          <w:lang w:val="en-US" w:bidi="en-US"/>
        </w:rPr>
        <w:t>df</w:t>
      </w:r>
      <w:proofErr w:type="gramEnd"/>
      <w:r w:rsidRPr="00572388">
        <w:rPr>
          <w:color w:val="000000" w:themeColor="text1"/>
          <w:lang w:val="en-US" w:bidi="en-US"/>
        </w:rPr>
        <w:t xml:space="preserve"> = 3, </w:t>
      </w:r>
      <w:r w:rsidRPr="00572388">
        <w:rPr>
          <w:i/>
          <w:color w:val="000000" w:themeColor="text1"/>
          <w:lang w:val="en-US" w:bidi="en-US"/>
        </w:rPr>
        <w:t>p</w:t>
      </w:r>
      <w:r w:rsidRPr="00572388">
        <w:rPr>
          <w:color w:val="000000" w:themeColor="text1"/>
          <w:lang w:val="en-US" w:bidi="en-US"/>
        </w:rPr>
        <w:t xml:space="preserve"> = 0.</w:t>
      </w:r>
      <w:r>
        <w:rPr>
          <w:color w:val="000000" w:themeColor="text1"/>
          <w:lang w:val="en-US" w:bidi="en-US"/>
        </w:rPr>
        <w:t>12).</w:t>
      </w:r>
      <w:r w:rsidR="002211F2">
        <w:rPr>
          <w:color w:val="000000" w:themeColor="text1"/>
          <w:lang w:val="en-US" w:bidi="en-US"/>
        </w:rPr>
        <w:t xml:space="preserve"> </w:t>
      </w:r>
      <w:r>
        <w:rPr>
          <w:color w:val="000000" w:themeColor="text1"/>
          <w:lang w:val="en-US" w:bidi="en-US"/>
        </w:rPr>
        <w:t>There was also</w:t>
      </w:r>
      <w:r w:rsidRPr="00572388">
        <w:rPr>
          <w:color w:val="000000" w:themeColor="text1"/>
          <w:lang w:val="en-US" w:bidi="en-US"/>
        </w:rPr>
        <w:t xml:space="preserve"> no relationship seen between graduation year and intervention recording rate (</w:t>
      </w:r>
      <w:r w:rsidRPr="00572388">
        <w:rPr>
          <w:i/>
          <w:color w:val="000000" w:themeColor="text1"/>
          <w:lang w:val="en-US" w:bidi="en-US"/>
        </w:rPr>
        <w:t>Spearman’s rho</w:t>
      </w:r>
      <w:r w:rsidRPr="00572388">
        <w:rPr>
          <w:color w:val="000000" w:themeColor="text1"/>
          <w:lang w:val="en-US" w:bidi="en-US"/>
        </w:rPr>
        <w:t xml:space="preserve"> = 0.01, </w:t>
      </w:r>
      <w:r w:rsidRPr="00572388">
        <w:rPr>
          <w:i/>
          <w:color w:val="000000" w:themeColor="text1"/>
          <w:lang w:val="en-US" w:bidi="en-US"/>
        </w:rPr>
        <w:t>N</w:t>
      </w:r>
      <w:r w:rsidRPr="00572388">
        <w:rPr>
          <w:color w:val="000000" w:themeColor="text1"/>
          <w:lang w:val="en-US" w:bidi="en-US"/>
        </w:rPr>
        <w:t xml:space="preserve"> = 78, </w:t>
      </w:r>
      <w:r w:rsidRPr="00572388">
        <w:rPr>
          <w:i/>
          <w:color w:val="000000" w:themeColor="text1"/>
          <w:lang w:val="en-US" w:bidi="en-US"/>
        </w:rPr>
        <w:t>p</w:t>
      </w:r>
      <w:r w:rsidRPr="00572388">
        <w:rPr>
          <w:color w:val="000000" w:themeColor="text1"/>
          <w:lang w:val="en-US" w:bidi="en-US"/>
        </w:rPr>
        <w:t xml:space="preserve"> = 0.91).</w:t>
      </w:r>
    </w:p>
    <w:p w:rsidR="004E55F2" w:rsidRPr="00572388" w:rsidRDefault="004E55F2" w:rsidP="004E55F2">
      <w:pPr>
        <w:pStyle w:val="Heading4"/>
        <w:numPr>
          <w:ilvl w:val="3"/>
          <w:numId w:val="1"/>
        </w:numPr>
        <w:ind w:left="1134" w:hanging="1134"/>
      </w:pPr>
      <w:r w:rsidRPr="00572388">
        <w:t>Additional qualifications</w:t>
      </w:r>
    </w:p>
    <w:p w:rsidR="004E55F2" w:rsidRPr="00A30E18" w:rsidRDefault="004E55F2" w:rsidP="004E55F2">
      <w:pPr>
        <w:rPr>
          <w:color w:val="FF0000"/>
          <w:lang w:val="en-US" w:bidi="en-US"/>
        </w:rPr>
      </w:pPr>
      <w:r>
        <w:rPr>
          <w:color w:val="000000" w:themeColor="text1"/>
          <w:lang w:val="en-US" w:bidi="en-US"/>
        </w:rPr>
        <w:t>Again</w:t>
      </w:r>
      <w:r w:rsidRPr="00572388">
        <w:rPr>
          <w:color w:val="000000" w:themeColor="text1"/>
          <w:lang w:val="en-US" w:bidi="en-US"/>
        </w:rPr>
        <w:t>, there was also no apparent relationship between pharmacists with additional qualifications and their intervention recording rate (</w:t>
      </w:r>
      <w:r w:rsidRPr="00572388">
        <w:rPr>
          <w:rFonts w:cstheme="minorHAnsi"/>
          <w:i/>
          <w:color w:val="000000" w:themeColor="text1"/>
          <w:lang w:val="en-US" w:bidi="en-US"/>
        </w:rPr>
        <w:t>Kruskal-Wallis χ</w:t>
      </w:r>
      <w:r w:rsidRPr="00572388">
        <w:rPr>
          <w:rFonts w:cstheme="minorHAnsi"/>
          <w:i/>
          <w:color w:val="000000" w:themeColor="text1"/>
          <w:vertAlign w:val="superscript"/>
          <w:lang w:val="en-US" w:bidi="en-US"/>
        </w:rPr>
        <w:t>2</w:t>
      </w:r>
      <w:r w:rsidRPr="00572388">
        <w:rPr>
          <w:color w:val="000000" w:themeColor="text1"/>
          <w:lang w:val="en-US" w:bidi="en-US"/>
        </w:rPr>
        <w:t xml:space="preserve"> = 4.37,</w:t>
      </w:r>
      <w:r w:rsidR="002211F2">
        <w:rPr>
          <w:color w:val="000000" w:themeColor="text1"/>
          <w:lang w:val="en-US" w:bidi="en-US"/>
        </w:rPr>
        <w:t xml:space="preserve"> </w:t>
      </w:r>
      <w:proofErr w:type="gramStart"/>
      <w:r w:rsidRPr="00572388">
        <w:rPr>
          <w:i/>
          <w:color w:val="000000" w:themeColor="text1"/>
          <w:lang w:val="en-US" w:bidi="en-US"/>
        </w:rPr>
        <w:t>df</w:t>
      </w:r>
      <w:proofErr w:type="gramEnd"/>
      <w:r w:rsidRPr="00572388">
        <w:rPr>
          <w:color w:val="000000" w:themeColor="text1"/>
          <w:lang w:val="en-US" w:bidi="en-US"/>
        </w:rPr>
        <w:t xml:space="preserve"> = 2, </w:t>
      </w:r>
      <w:r w:rsidRPr="00572388">
        <w:rPr>
          <w:i/>
          <w:color w:val="000000" w:themeColor="text1"/>
          <w:lang w:val="en-US" w:bidi="en-US"/>
        </w:rPr>
        <w:t>p</w:t>
      </w:r>
      <w:r w:rsidRPr="00572388">
        <w:rPr>
          <w:color w:val="000000" w:themeColor="text1"/>
          <w:lang w:val="en-US" w:bidi="en-US"/>
        </w:rPr>
        <w:t xml:space="preserve"> = 0.1</w:t>
      </w:r>
      <w:r>
        <w:rPr>
          <w:color w:val="000000" w:themeColor="text1"/>
          <w:lang w:val="en-US" w:bidi="en-US"/>
        </w:rPr>
        <w:t>0</w:t>
      </w:r>
      <w:r w:rsidRPr="00572388">
        <w:rPr>
          <w:color w:val="000000" w:themeColor="text1"/>
          <w:lang w:val="en-US" w:bidi="en-US"/>
        </w:rPr>
        <w:t>), despite a trend being seen in the overall pharmacist group</w:t>
      </w:r>
      <w:r w:rsidR="002211F2">
        <w:rPr>
          <w:color w:val="000000" w:themeColor="text1"/>
          <w:lang w:val="en-US" w:bidi="en-US"/>
        </w:rPr>
        <w:t xml:space="preserve"> (see Chapter 5 for details)</w:t>
      </w:r>
      <w:r w:rsidRPr="00572388">
        <w:rPr>
          <w:color w:val="000000" w:themeColor="text1"/>
          <w:lang w:val="en-US" w:bidi="en-US"/>
        </w:rPr>
        <w:t>.</w:t>
      </w:r>
      <w:r w:rsidR="002211F2">
        <w:rPr>
          <w:color w:val="000000" w:themeColor="text1"/>
          <w:lang w:val="en-US" w:bidi="en-US"/>
        </w:rPr>
        <w:t xml:space="preserve"> </w:t>
      </w:r>
      <w:r w:rsidRPr="00572388">
        <w:rPr>
          <w:color w:val="000000" w:themeColor="text1"/>
          <w:lang w:val="en-US" w:bidi="en-US"/>
        </w:rPr>
        <w:t>HMR</w:t>
      </w:r>
      <w:r w:rsidRPr="006731E1">
        <w:rPr>
          <w:color w:val="000000" w:themeColor="text1"/>
          <w:lang w:val="en-US" w:bidi="en-US"/>
        </w:rPr>
        <w:t xml:space="preserve"> accreditation was also not an influencing factor, with no difference between the accredited and non-accredited pharmacists with regards to their recording rates (</w:t>
      </w:r>
      <w:r w:rsidRPr="006731E1">
        <w:rPr>
          <w:i/>
          <w:color w:val="000000" w:themeColor="text1"/>
          <w:lang w:val="en-US" w:bidi="en-US"/>
        </w:rPr>
        <w:t>Mann-Whitney U</w:t>
      </w:r>
      <w:r w:rsidRPr="006731E1">
        <w:rPr>
          <w:color w:val="000000" w:themeColor="text1"/>
          <w:lang w:val="en-US" w:bidi="en-US"/>
        </w:rPr>
        <w:t xml:space="preserve"> = 374.50, </w:t>
      </w:r>
      <w:r w:rsidRPr="006731E1">
        <w:rPr>
          <w:i/>
          <w:color w:val="000000" w:themeColor="text1"/>
          <w:lang w:val="en-US" w:bidi="en-US"/>
        </w:rPr>
        <w:t>Z</w:t>
      </w:r>
      <w:r w:rsidRPr="006731E1">
        <w:rPr>
          <w:color w:val="000000" w:themeColor="text1"/>
          <w:lang w:val="en-US" w:bidi="en-US"/>
        </w:rPr>
        <w:t xml:space="preserve"> = -1.25, </w:t>
      </w:r>
      <w:r w:rsidRPr="006731E1">
        <w:rPr>
          <w:i/>
          <w:color w:val="000000" w:themeColor="text1"/>
          <w:lang w:val="en-US" w:bidi="en-US"/>
        </w:rPr>
        <w:t>p</w:t>
      </w:r>
      <w:r w:rsidRPr="006731E1">
        <w:rPr>
          <w:color w:val="000000" w:themeColor="text1"/>
          <w:lang w:val="en-US" w:bidi="en-US"/>
        </w:rPr>
        <w:t xml:space="preserve"> = 0.21).</w:t>
      </w:r>
    </w:p>
    <w:p w:rsidR="004E55F2" w:rsidRPr="00D87378" w:rsidRDefault="004E55F2" w:rsidP="004E55F2">
      <w:pPr>
        <w:pStyle w:val="Heading4"/>
        <w:numPr>
          <w:ilvl w:val="3"/>
          <w:numId w:val="1"/>
        </w:numPr>
        <w:ind w:left="1134" w:hanging="1134"/>
      </w:pPr>
      <w:r w:rsidRPr="00D87378">
        <w:t>CPD activity</w:t>
      </w:r>
    </w:p>
    <w:p w:rsidR="004E55F2" w:rsidRPr="00D87378" w:rsidRDefault="004E55F2" w:rsidP="004E55F2">
      <w:pPr>
        <w:rPr>
          <w:color w:val="000000" w:themeColor="text1"/>
          <w:lang w:val="en-US" w:bidi="en-US"/>
        </w:rPr>
      </w:pPr>
      <w:r w:rsidRPr="00D87378">
        <w:rPr>
          <w:color w:val="000000" w:themeColor="text1"/>
          <w:lang w:val="en-US" w:bidi="en-US"/>
        </w:rPr>
        <w:t xml:space="preserve">CPD activity also did not appear to have a relationship with intervention </w:t>
      </w:r>
      <w:r>
        <w:rPr>
          <w:color w:val="000000" w:themeColor="text1"/>
          <w:lang w:val="en-US" w:bidi="en-US"/>
        </w:rPr>
        <w:t>recording</w:t>
      </w:r>
      <w:r w:rsidRPr="00D87378">
        <w:rPr>
          <w:color w:val="000000" w:themeColor="text1"/>
          <w:lang w:val="en-US" w:bidi="en-US"/>
        </w:rPr>
        <w:t xml:space="preserve"> rate in this group of pharmacists (</w:t>
      </w:r>
      <w:r w:rsidRPr="00D87378">
        <w:rPr>
          <w:rFonts w:cstheme="minorHAnsi"/>
          <w:i/>
          <w:color w:val="000000" w:themeColor="text1"/>
          <w:lang w:val="en-US" w:bidi="en-US"/>
        </w:rPr>
        <w:t>Kruskal-Wallis χ</w:t>
      </w:r>
      <w:r w:rsidRPr="00D87378">
        <w:rPr>
          <w:rFonts w:cstheme="minorHAnsi"/>
          <w:i/>
          <w:color w:val="000000" w:themeColor="text1"/>
          <w:vertAlign w:val="superscript"/>
          <w:lang w:val="en-US" w:bidi="en-US"/>
        </w:rPr>
        <w:t>2</w:t>
      </w:r>
      <w:r>
        <w:rPr>
          <w:color w:val="000000" w:themeColor="text1"/>
          <w:lang w:val="en-US" w:bidi="en-US"/>
        </w:rPr>
        <w:t xml:space="preserve"> = 0.77</w:t>
      </w:r>
      <w:r w:rsidRPr="00D87378">
        <w:rPr>
          <w:color w:val="000000" w:themeColor="text1"/>
          <w:lang w:val="en-US" w:bidi="en-US"/>
        </w:rPr>
        <w:t xml:space="preserve">, </w:t>
      </w:r>
      <w:proofErr w:type="gramStart"/>
      <w:r w:rsidRPr="00D87378">
        <w:rPr>
          <w:i/>
          <w:color w:val="000000" w:themeColor="text1"/>
          <w:lang w:val="en-US" w:bidi="en-US"/>
        </w:rPr>
        <w:t>df</w:t>
      </w:r>
      <w:proofErr w:type="gramEnd"/>
      <w:r w:rsidRPr="00D87378">
        <w:rPr>
          <w:color w:val="000000" w:themeColor="text1"/>
          <w:lang w:val="en-US" w:bidi="en-US"/>
        </w:rPr>
        <w:t xml:space="preserve"> = 3, </w:t>
      </w:r>
      <w:r w:rsidRPr="00D87378">
        <w:rPr>
          <w:i/>
          <w:color w:val="000000" w:themeColor="text1"/>
          <w:lang w:val="en-US" w:bidi="en-US"/>
        </w:rPr>
        <w:t>p</w:t>
      </w:r>
      <w:r w:rsidRPr="00D87378">
        <w:rPr>
          <w:color w:val="000000" w:themeColor="text1"/>
          <w:lang w:val="en-US" w:bidi="en-US"/>
        </w:rPr>
        <w:t xml:space="preserve"> = 0.</w:t>
      </w:r>
      <w:r>
        <w:rPr>
          <w:color w:val="000000" w:themeColor="text1"/>
          <w:lang w:val="en-US" w:bidi="en-US"/>
        </w:rPr>
        <w:t>86</w:t>
      </w:r>
      <w:r w:rsidRPr="00D87378">
        <w:rPr>
          <w:color w:val="000000" w:themeColor="text1"/>
          <w:lang w:val="en-US" w:bidi="en-US"/>
        </w:rPr>
        <w:t>).</w:t>
      </w:r>
    </w:p>
    <w:p w:rsidR="004E55F2" w:rsidRPr="00D87378" w:rsidRDefault="004E55F2" w:rsidP="004E55F2">
      <w:pPr>
        <w:pStyle w:val="Heading4"/>
        <w:numPr>
          <w:ilvl w:val="3"/>
          <w:numId w:val="1"/>
        </w:numPr>
        <w:ind w:left="1134" w:hanging="1134"/>
      </w:pPr>
      <w:r w:rsidRPr="00D87378">
        <w:t>Workload</w:t>
      </w:r>
    </w:p>
    <w:p w:rsidR="004E55F2" w:rsidRPr="00D87378" w:rsidRDefault="004E55F2" w:rsidP="004E55F2">
      <w:pPr>
        <w:rPr>
          <w:color w:val="000000" w:themeColor="text1"/>
          <w:lang w:val="en-US" w:bidi="en-US"/>
        </w:rPr>
      </w:pPr>
      <w:r w:rsidRPr="00D87378">
        <w:rPr>
          <w:color w:val="000000" w:themeColor="text1"/>
          <w:lang w:val="en-US" w:bidi="en-US"/>
        </w:rPr>
        <w:t xml:space="preserve">There did not appear to be a relationship between the intervention </w:t>
      </w:r>
      <w:r>
        <w:rPr>
          <w:color w:val="000000" w:themeColor="text1"/>
          <w:lang w:val="en-US" w:bidi="en-US"/>
        </w:rPr>
        <w:t>recording</w:t>
      </w:r>
      <w:r w:rsidRPr="00D87378">
        <w:rPr>
          <w:color w:val="000000" w:themeColor="text1"/>
          <w:lang w:val="en-US" w:bidi="en-US"/>
        </w:rPr>
        <w:t xml:space="preserve"> rate and the average pharmacist workload within the pharmacy (</w:t>
      </w:r>
      <w:r w:rsidRPr="00D87378">
        <w:rPr>
          <w:i/>
          <w:color w:val="000000" w:themeColor="text1"/>
          <w:lang w:val="en-US" w:bidi="en-US"/>
        </w:rPr>
        <w:t>Spearman’s rho</w:t>
      </w:r>
      <w:r w:rsidRPr="00D87378">
        <w:rPr>
          <w:color w:val="000000" w:themeColor="text1"/>
          <w:lang w:val="en-US" w:bidi="en-US"/>
        </w:rPr>
        <w:t xml:space="preserve"> = -0.</w:t>
      </w:r>
      <w:r>
        <w:rPr>
          <w:color w:val="000000" w:themeColor="text1"/>
          <w:lang w:val="en-US" w:bidi="en-US"/>
        </w:rPr>
        <w:t>01</w:t>
      </w:r>
      <w:r w:rsidRPr="00D87378">
        <w:rPr>
          <w:color w:val="000000" w:themeColor="text1"/>
          <w:lang w:val="en-US" w:bidi="en-US"/>
        </w:rPr>
        <w:t xml:space="preserve">, </w:t>
      </w:r>
      <w:r w:rsidRPr="00D87378">
        <w:rPr>
          <w:i/>
          <w:color w:val="000000" w:themeColor="text1"/>
          <w:lang w:val="en-US" w:bidi="en-US"/>
        </w:rPr>
        <w:t>N</w:t>
      </w:r>
      <w:r w:rsidRPr="00D87378">
        <w:rPr>
          <w:color w:val="000000" w:themeColor="text1"/>
          <w:lang w:val="en-US" w:bidi="en-US"/>
        </w:rPr>
        <w:t xml:space="preserve"> = 85, </w:t>
      </w:r>
      <w:r w:rsidRPr="00D87378">
        <w:rPr>
          <w:i/>
          <w:color w:val="000000" w:themeColor="text1"/>
          <w:lang w:val="en-US" w:bidi="en-US"/>
        </w:rPr>
        <w:t>p</w:t>
      </w:r>
      <w:r w:rsidRPr="00D87378">
        <w:rPr>
          <w:color w:val="000000" w:themeColor="text1"/>
          <w:lang w:val="en-US" w:bidi="en-US"/>
        </w:rPr>
        <w:t xml:space="preserve"> = 0.</w:t>
      </w:r>
      <w:r>
        <w:rPr>
          <w:color w:val="000000" w:themeColor="text1"/>
          <w:lang w:val="en-US" w:bidi="en-US"/>
        </w:rPr>
        <w:t>94</w:t>
      </w:r>
      <w:r w:rsidRPr="00D87378">
        <w:rPr>
          <w:color w:val="000000" w:themeColor="text1"/>
          <w:lang w:val="en-US" w:bidi="en-US"/>
        </w:rPr>
        <w:t>).</w:t>
      </w:r>
    </w:p>
    <w:p w:rsidR="004E55F2" w:rsidRPr="006731E1" w:rsidRDefault="004E55F2" w:rsidP="004E55F2">
      <w:pPr>
        <w:pStyle w:val="Heading4"/>
        <w:numPr>
          <w:ilvl w:val="3"/>
          <w:numId w:val="1"/>
        </w:numPr>
        <w:ind w:left="1134" w:hanging="1134"/>
      </w:pPr>
      <w:r w:rsidRPr="006731E1">
        <w:lastRenderedPageBreak/>
        <w:t>Professionalism score</w:t>
      </w:r>
    </w:p>
    <w:p w:rsidR="004E55F2" w:rsidRPr="006731E1" w:rsidRDefault="004E55F2" w:rsidP="004E55F2">
      <w:pPr>
        <w:rPr>
          <w:color w:val="000000" w:themeColor="text1"/>
          <w:lang w:val="en-US" w:bidi="en-US"/>
        </w:rPr>
      </w:pPr>
      <w:r w:rsidRPr="006731E1">
        <w:rPr>
          <w:color w:val="000000" w:themeColor="text1"/>
          <w:lang w:val="en-US" w:bidi="en-US"/>
        </w:rPr>
        <w:t xml:space="preserve">There did not appear to be a relationship between the intervention </w:t>
      </w:r>
      <w:r>
        <w:rPr>
          <w:color w:val="000000" w:themeColor="text1"/>
          <w:lang w:val="en-US" w:bidi="en-US"/>
        </w:rPr>
        <w:t>recording</w:t>
      </w:r>
      <w:r w:rsidRPr="006731E1">
        <w:rPr>
          <w:color w:val="000000" w:themeColor="text1"/>
          <w:lang w:val="en-US" w:bidi="en-US"/>
        </w:rPr>
        <w:t xml:space="preserve"> rate and either professionalism score (</w:t>
      </w:r>
      <w:r w:rsidRPr="006731E1">
        <w:rPr>
          <w:i/>
          <w:color w:val="000000" w:themeColor="text1"/>
          <w:lang w:val="en-US" w:bidi="en-US"/>
        </w:rPr>
        <w:t>Spearman’s rho</w:t>
      </w:r>
      <w:r w:rsidRPr="006731E1">
        <w:rPr>
          <w:color w:val="000000" w:themeColor="text1"/>
          <w:lang w:val="en-US" w:bidi="en-US"/>
        </w:rPr>
        <w:t xml:space="preserve"> = 0.01, </w:t>
      </w:r>
      <w:r w:rsidRPr="006731E1">
        <w:rPr>
          <w:i/>
          <w:color w:val="000000" w:themeColor="text1"/>
          <w:lang w:val="en-US" w:bidi="en-US"/>
        </w:rPr>
        <w:t>N</w:t>
      </w:r>
      <w:r w:rsidRPr="006731E1">
        <w:rPr>
          <w:color w:val="000000" w:themeColor="text1"/>
          <w:lang w:val="en-US" w:bidi="en-US"/>
        </w:rPr>
        <w:t xml:space="preserve"> = 77, </w:t>
      </w:r>
      <w:r w:rsidRPr="006731E1">
        <w:rPr>
          <w:i/>
          <w:color w:val="000000" w:themeColor="text1"/>
          <w:lang w:val="en-US" w:bidi="en-US"/>
        </w:rPr>
        <w:t>p</w:t>
      </w:r>
      <w:r w:rsidRPr="006731E1">
        <w:rPr>
          <w:color w:val="000000" w:themeColor="text1"/>
          <w:lang w:val="en-US" w:bidi="en-US"/>
        </w:rPr>
        <w:t xml:space="preserve"> = 0.39 for the initial professionalism survey; </w:t>
      </w:r>
      <w:r w:rsidRPr="006731E1">
        <w:rPr>
          <w:i/>
          <w:color w:val="000000" w:themeColor="text1"/>
          <w:lang w:val="en-US" w:bidi="en-US"/>
        </w:rPr>
        <w:t>Spearman’s rho</w:t>
      </w:r>
      <w:r w:rsidRPr="006731E1">
        <w:rPr>
          <w:color w:val="000000" w:themeColor="text1"/>
          <w:lang w:val="en-US" w:bidi="en-US"/>
        </w:rPr>
        <w:t xml:space="preserve"> = 0.05, </w:t>
      </w:r>
      <w:r w:rsidRPr="006731E1">
        <w:rPr>
          <w:i/>
          <w:color w:val="000000" w:themeColor="text1"/>
          <w:lang w:val="en-US" w:bidi="en-US"/>
        </w:rPr>
        <w:t>N</w:t>
      </w:r>
      <w:r w:rsidRPr="006731E1">
        <w:rPr>
          <w:color w:val="000000" w:themeColor="text1"/>
          <w:lang w:val="en-US" w:bidi="en-US"/>
        </w:rPr>
        <w:t xml:space="preserve"> = 83, </w:t>
      </w:r>
      <w:r w:rsidRPr="006731E1">
        <w:rPr>
          <w:i/>
          <w:color w:val="000000" w:themeColor="text1"/>
          <w:lang w:val="en-US" w:bidi="en-US"/>
        </w:rPr>
        <w:t>p</w:t>
      </w:r>
      <w:r>
        <w:rPr>
          <w:color w:val="000000" w:themeColor="text1"/>
          <w:lang w:val="en-US" w:bidi="en-US"/>
        </w:rPr>
        <w:t xml:space="preserve"> = 0.64 for the Hall’s p</w:t>
      </w:r>
      <w:r w:rsidRPr="006731E1">
        <w:rPr>
          <w:color w:val="000000" w:themeColor="text1"/>
          <w:lang w:val="en-US" w:bidi="en-US"/>
        </w:rPr>
        <w:t>ro</w:t>
      </w:r>
      <w:r>
        <w:rPr>
          <w:color w:val="000000" w:themeColor="text1"/>
          <w:lang w:val="en-US" w:bidi="en-US"/>
        </w:rPr>
        <w:t>fessionalism s</w:t>
      </w:r>
      <w:r w:rsidRPr="006731E1">
        <w:rPr>
          <w:color w:val="000000" w:themeColor="text1"/>
          <w:lang w:val="en-US" w:bidi="en-US"/>
        </w:rPr>
        <w:t>urvey).</w:t>
      </w:r>
    </w:p>
    <w:p w:rsidR="004E55F2" w:rsidRPr="006731E1" w:rsidRDefault="004E55F2" w:rsidP="004E55F2">
      <w:pPr>
        <w:pStyle w:val="Heading4"/>
        <w:numPr>
          <w:ilvl w:val="3"/>
          <w:numId w:val="1"/>
        </w:numPr>
        <w:ind w:left="1134" w:hanging="1134"/>
      </w:pPr>
      <w:r w:rsidRPr="006731E1">
        <w:t>Empathy score</w:t>
      </w:r>
    </w:p>
    <w:p w:rsidR="004E55F2" w:rsidRPr="006731E1" w:rsidRDefault="004E55F2" w:rsidP="004E55F2">
      <w:pPr>
        <w:rPr>
          <w:color w:val="000000" w:themeColor="text1"/>
          <w:lang w:val="en-US" w:bidi="en-US"/>
        </w:rPr>
      </w:pPr>
      <w:r w:rsidRPr="006731E1">
        <w:rPr>
          <w:color w:val="000000" w:themeColor="text1"/>
          <w:lang w:val="en-US" w:bidi="en-US"/>
        </w:rPr>
        <w:t>There did not appear to be a relationship between the intervention recording rate and the pharmacist’s empathy score (</w:t>
      </w:r>
      <w:r w:rsidRPr="006731E1">
        <w:rPr>
          <w:i/>
          <w:color w:val="000000" w:themeColor="text1"/>
          <w:lang w:val="en-US" w:bidi="en-US"/>
        </w:rPr>
        <w:t>Spearman’s rho</w:t>
      </w:r>
      <w:r w:rsidRPr="006731E1">
        <w:rPr>
          <w:color w:val="000000" w:themeColor="text1"/>
          <w:lang w:val="en-US" w:bidi="en-US"/>
        </w:rPr>
        <w:t xml:space="preserve"> = 0.01, </w:t>
      </w:r>
      <w:r w:rsidRPr="006731E1">
        <w:rPr>
          <w:i/>
          <w:color w:val="000000" w:themeColor="text1"/>
          <w:lang w:val="en-US" w:bidi="en-US"/>
        </w:rPr>
        <w:t>N</w:t>
      </w:r>
      <w:r w:rsidRPr="006731E1">
        <w:rPr>
          <w:color w:val="000000" w:themeColor="text1"/>
          <w:lang w:val="en-US" w:bidi="en-US"/>
        </w:rPr>
        <w:t xml:space="preserve"> = 76, </w:t>
      </w:r>
      <w:r w:rsidRPr="006731E1">
        <w:rPr>
          <w:i/>
          <w:color w:val="000000" w:themeColor="text1"/>
          <w:lang w:val="en-US" w:bidi="en-US"/>
        </w:rPr>
        <w:t>p</w:t>
      </w:r>
      <w:r w:rsidRPr="006731E1">
        <w:rPr>
          <w:color w:val="000000" w:themeColor="text1"/>
          <w:lang w:val="en-US" w:bidi="en-US"/>
        </w:rPr>
        <w:t xml:space="preserve"> = 0.91).</w:t>
      </w:r>
    </w:p>
    <w:p w:rsidR="004E55F2" w:rsidRPr="0021439F" w:rsidRDefault="004E55F2" w:rsidP="004E55F2">
      <w:pPr>
        <w:pStyle w:val="Heading4"/>
        <w:numPr>
          <w:ilvl w:val="3"/>
          <w:numId w:val="1"/>
        </w:numPr>
        <w:ind w:left="1134" w:hanging="1134"/>
      </w:pPr>
      <w:r w:rsidRPr="0021439F">
        <w:t>Clinical knowledge survey score</w:t>
      </w:r>
    </w:p>
    <w:p w:rsidR="004E55F2" w:rsidRPr="0021439F" w:rsidRDefault="004E55F2" w:rsidP="004E55F2">
      <w:pPr>
        <w:rPr>
          <w:color w:val="000000" w:themeColor="text1"/>
          <w:lang w:val="en-US" w:bidi="en-US"/>
        </w:rPr>
      </w:pPr>
      <w:r w:rsidRPr="0021439F">
        <w:rPr>
          <w:color w:val="000000" w:themeColor="text1"/>
          <w:lang w:val="en-US" w:bidi="en-US"/>
        </w:rPr>
        <w:t>There did not appear to be a relationship between the intervention recording rate and the pharmacist’s clinical knowledge score (</w:t>
      </w:r>
      <w:r w:rsidRPr="0021439F">
        <w:rPr>
          <w:i/>
          <w:color w:val="000000" w:themeColor="text1"/>
          <w:lang w:val="en-US" w:bidi="en-US"/>
        </w:rPr>
        <w:t>Spearman’s rho</w:t>
      </w:r>
      <w:r w:rsidRPr="0021439F">
        <w:rPr>
          <w:color w:val="000000" w:themeColor="text1"/>
          <w:lang w:val="en-US" w:bidi="en-US"/>
        </w:rPr>
        <w:t xml:space="preserve"> = 0.03, </w:t>
      </w:r>
      <w:r w:rsidRPr="0021439F">
        <w:rPr>
          <w:i/>
          <w:color w:val="000000" w:themeColor="text1"/>
          <w:lang w:val="en-US" w:bidi="en-US"/>
        </w:rPr>
        <w:t>N</w:t>
      </w:r>
      <w:r w:rsidRPr="0021439F">
        <w:rPr>
          <w:color w:val="000000" w:themeColor="text1"/>
          <w:lang w:val="en-US" w:bidi="en-US"/>
        </w:rPr>
        <w:t xml:space="preserve"> = 71, </w:t>
      </w:r>
      <w:r w:rsidRPr="0021439F">
        <w:rPr>
          <w:i/>
          <w:color w:val="000000" w:themeColor="text1"/>
          <w:lang w:val="en-US" w:bidi="en-US"/>
        </w:rPr>
        <w:t>p</w:t>
      </w:r>
      <w:r w:rsidRPr="0021439F">
        <w:rPr>
          <w:color w:val="000000" w:themeColor="text1"/>
          <w:lang w:val="en-US" w:bidi="en-US"/>
        </w:rPr>
        <w:t xml:space="preserve"> = 0.78).</w:t>
      </w:r>
    </w:p>
    <w:p w:rsidR="004E55F2" w:rsidRPr="004A7D3C" w:rsidRDefault="004E55F2" w:rsidP="004E55F2">
      <w:pPr>
        <w:pStyle w:val="Heading4"/>
        <w:numPr>
          <w:ilvl w:val="3"/>
          <w:numId w:val="1"/>
        </w:numPr>
        <w:ind w:left="1134" w:hanging="1134"/>
      </w:pPr>
      <w:r w:rsidRPr="004A7D3C">
        <w:t>Training level</w:t>
      </w:r>
    </w:p>
    <w:p w:rsidR="004E55F2" w:rsidRPr="004A7D3C" w:rsidRDefault="004E55F2" w:rsidP="004E55F2">
      <w:pPr>
        <w:rPr>
          <w:color w:val="000000" w:themeColor="text1"/>
          <w:lang w:val="en-US" w:bidi="en-US"/>
        </w:rPr>
      </w:pPr>
      <w:r w:rsidRPr="004A7D3C">
        <w:rPr>
          <w:color w:val="000000" w:themeColor="text1"/>
          <w:lang w:val="en-US" w:bidi="en-US"/>
        </w:rPr>
        <w:t xml:space="preserve">There did not appear to be a relationship between the intervention </w:t>
      </w:r>
      <w:r>
        <w:rPr>
          <w:color w:val="000000" w:themeColor="text1"/>
          <w:lang w:val="en-US" w:bidi="en-US"/>
        </w:rPr>
        <w:t>recording</w:t>
      </w:r>
      <w:r w:rsidRPr="004A7D3C">
        <w:rPr>
          <w:color w:val="000000" w:themeColor="text1"/>
          <w:lang w:val="en-US" w:bidi="en-US"/>
        </w:rPr>
        <w:t xml:space="preserve"> rate and the pharmacist’s level of training (</w:t>
      </w:r>
      <w:r w:rsidRPr="004A7D3C">
        <w:rPr>
          <w:rFonts w:cstheme="minorHAnsi"/>
          <w:i/>
          <w:color w:val="000000" w:themeColor="text1"/>
          <w:lang w:val="en-US" w:bidi="en-US"/>
        </w:rPr>
        <w:t>Kruskal-Wallis χ</w:t>
      </w:r>
      <w:r w:rsidRPr="004A7D3C">
        <w:rPr>
          <w:rFonts w:cstheme="minorHAnsi"/>
          <w:i/>
          <w:color w:val="000000" w:themeColor="text1"/>
          <w:vertAlign w:val="superscript"/>
          <w:lang w:val="en-US" w:bidi="en-US"/>
        </w:rPr>
        <w:t>2</w:t>
      </w:r>
      <w:r w:rsidRPr="004A7D3C">
        <w:rPr>
          <w:color w:val="000000" w:themeColor="text1"/>
          <w:lang w:val="en-US" w:bidi="en-US"/>
        </w:rPr>
        <w:t xml:space="preserve"> = </w:t>
      </w:r>
      <w:r>
        <w:rPr>
          <w:color w:val="000000" w:themeColor="text1"/>
          <w:lang w:val="en-US" w:bidi="en-US"/>
        </w:rPr>
        <w:t>5.83</w:t>
      </w:r>
      <w:r w:rsidRPr="004A7D3C">
        <w:rPr>
          <w:color w:val="000000" w:themeColor="text1"/>
          <w:lang w:val="en-US" w:bidi="en-US"/>
        </w:rPr>
        <w:t xml:space="preserve">, </w:t>
      </w:r>
      <w:proofErr w:type="gramStart"/>
      <w:r w:rsidRPr="004A7D3C">
        <w:rPr>
          <w:i/>
          <w:color w:val="000000" w:themeColor="text1"/>
          <w:lang w:val="en-US" w:bidi="en-US"/>
        </w:rPr>
        <w:t>df</w:t>
      </w:r>
      <w:proofErr w:type="gramEnd"/>
      <w:r w:rsidRPr="004A7D3C">
        <w:rPr>
          <w:color w:val="000000" w:themeColor="text1"/>
          <w:lang w:val="en-US" w:bidi="en-US"/>
        </w:rPr>
        <w:t xml:space="preserve"> = 3, </w:t>
      </w:r>
      <w:r w:rsidRPr="004A7D3C">
        <w:rPr>
          <w:i/>
          <w:color w:val="000000" w:themeColor="text1"/>
          <w:lang w:val="en-US" w:bidi="en-US"/>
        </w:rPr>
        <w:t>p</w:t>
      </w:r>
      <w:r w:rsidRPr="004A7D3C">
        <w:rPr>
          <w:color w:val="000000" w:themeColor="text1"/>
          <w:lang w:val="en-US" w:bidi="en-US"/>
        </w:rPr>
        <w:t xml:space="preserve"> = 0.</w:t>
      </w:r>
      <w:r>
        <w:rPr>
          <w:color w:val="000000" w:themeColor="text1"/>
          <w:lang w:val="en-US" w:bidi="en-US"/>
        </w:rPr>
        <w:t>12</w:t>
      </w:r>
      <w:r w:rsidRPr="004A7D3C">
        <w:rPr>
          <w:color w:val="000000" w:themeColor="text1"/>
          <w:lang w:val="en-US" w:bidi="en-US"/>
        </w:rPr>
        <w:t>).</w:t>
      </w:r>
    </w:p>
    <w:p w:rsidR="004E55F2" w:rsidRPr="00D87378" w:rsidRDefault="004E55F2" w:rsidP="004E55F2">
      <w:pPr>
        <w:pStyle w:val="Heading4"/>
        <w:numPr>
          <w:ilvl w:val="3"/>
          <w:numId w:val="1"/>
        </w:numPr>
        <w:ind w:left="1134" w:hanging="1134"/>
      </w:pPr>
      <w:r w:rsidRPr="00D87378">
        <w:t>Adaptab</w:t>
      </w:r>
      <w:r>
        <w:t>ility</w:t>
      </w:r>
      <w:r w:rsidRPr="00D87378">
        <w:t>/willingness to change score</w:t>
      </w:r>
    </w:p>
    <w:p w:rsidR="004E55F2" w:rsidRPr="00D87378" w:rsidRDefault="004E55F2" w:rsidP="004E55F2">
      <w:pPr>
        <w:rPr>
          <w:color w:val="000000" w:themeColor="text1"/>
          <w:lang w:val="en-US" w:bidi="en-US"/>
        </w:rPr>
      </w:pPr>
      <w:r w:rsidRPr="00D87378">
        <w:rPr>
          <w:color w:val="000000" w:themeColor="text1"/>
          <w:lang w:val="en-US" w:bidi="en-US"/>
        </w:rPr>
        <w:t xml:space="preserve">There did not appear to be a relationship between the intervention </w:t>
      </w:r>
      <w:r>
        <w:rPr>
          <w:color w:val="000000" w:themeColor="text1"/>
          <w:lang w:val="en-US" w:bidi="en-US"/>
        </w:rPr>
        <w:t>recording</w:t>
      </w:r>
      <w:r w:rsidRPr="00D87378">
        <w:rPr>
          <w:color w:val="000000" w:themeColor="text1"/>
          <w:lang w:val="en-US" w:bidi="en-US"/>
        </w:rPr>
        <w:t xml:space="preserve"> rate and the pharmacist’s adaptab</w:t>
      </w:r>
      <w:r>
        <w:rPr>
          <w:color w:val="000000" w:themeColor="text1"/>
          <w:lang w:val="en-US" w:bidi="en-US"/>
        </w:rPr>
        <w:t>ility</w:t>
      </w:r>
      <w:r w:rsidRPr="00D87378">
        <w:rPr>
          <w:color w:val="000000" w:themeColor="text1"/>
          <w:lang w:val="en-US" w:bidi="en-US"/>
        </w:rPr>
        <w:t>/willingness to change score (</w:t>
      </w:r>
      <w:r w:rsidRPr="00D87378">
        <w:rPr>
          <w:i/>
          <w:color w:val="000000" w:themeColor="text1"/>
          <w:lang w:val="en-US" w:bidi="en-US"/>
        </w:rPr>
        <w:t>Spearman’s rho</w:t>
      </w:r>
      <w:r w:rsidRPr="00D87378">
        <w:rPr>
          <w:color w:val="000000" w:themeColor="text1"/>
          <w:lang w:val="en-US" w:bidi="en-US"/>
        </w:rPr>
        <w:t xml:space="preserve"> = -0.0</w:t>
      </w:r>
      <w:r>
        <w:rPr>
          <w:color w:val="000000" w:themeColor="text1"/>
          <w:lang w:val="en-US" w:bidi="en-US"/>
        </w:rPr>
        <w:t>6</w:t>
      </w:r>
      <w:r w:rsidRPr="00D87378">
        <w:rPr>
          <w:color w:val="000000" w:themeColor="text1"/>
          <w:lang w:val="en-US" w:bidi="en-US"/>
        </w:rPr>
        <w:t xml:space="preserve">, </w:t>
      </w:r>
      <w:r w:rsidRPr="00D87378">
        <w:rPr>
          <w:i/>
          <w:color w:val="000000" w:themeColor="text1"/>
          <w:lang w:val="en-US" w:bidi="en-US"/>
        </w:rPr>
        <w:t>N</w:t>
      </w:r>
      <w:r w:rsidRPr="00D87378">
        <w:rPr>
          <w:color w:val="000000" w:themeColor="text1"/>
          <w:lang w:val="en-US" w:bidi="en-US"/>
        </w:rPr>
        <w:t xml:space="preserve"> = 78, </w:t>
      </w:r>
      <w:r w:rsidRPr="00D87378">
        <w:rPr>
          <w:i/>
          <w:color w:val="000000" w:themeColor="text1"/>
          <w:lang w:val="en-US" w:bidi="en-US"/>
        </w:rPr>
        <w:t>p</w:t>
      </w:r>
      <w:r w:rsidRPr="00D87378">
        <w:rPr>
          <w:color w:val="000000" w:themeColor="text1"/>
          <w:lang w:val="en-US" w:bidi="en-US"/>
        </w:rPr>
        <w:t xml:space="preserve"> = 0.</w:t>
      </w:r>
      <w:r>
        <w:rPr>
          <w:color w:val="000000" w:themeColor="text1"/>
          <w:lang w:val="en-US" w:bidi="en-US"/>
        </w:rPr>
        <w:t>61</w:t>
      </w:r>
      <w:r w:rsidRPr="00D87378">
        <w:rPr>
          <w:color w:val="000000" w:themeColor="text1"/>
          <w:lang w:val="en-US" w:bidi="en-US"/>
        </w:rPr>
        <w:t>).</w:t>
      </w:r>
      <w:r w:rsidR="002211F2">
        <w:rPr>
          <w:color w:val="000000" w:themeColor="text1"/>
          <w:lang w:val="en-US" w:bidi="en-US"/>
        </w:rPr>
        <w:t xml:space="preserve"> </w:t>
      </w:r>
      <w:r w:rsidR="002211F2">
        <w:rPr>
          <w:lang w:val="en-US" w:bidi="en-US"/>
        </w:rPr>
        <w:t>See Chapter 5 for the calculation process.</w:t>
      </w:r>
    </w:p>
    <w:p w:rsidR="004E55F2" w:rsidRPr="00D87378" w:rsidRDefault="004E55F2" w:rsidP="004E55F2">
      <w:pPr>
        <w:pStyle w:val="Heading4"/>
        <w:numPr>
          <w:ilvl w:val="3"/>
          <w:numId w:val="1"/>
        </w:numPr>
        <w:ind w:left="1134" w:hanging="1134"/>
      </w:pPr>
      <w:r w:rsidRPr="00D87378">
        <w:t>Confidence score</w:t>
      </w:r>
    </w:p>
    <w:p w:rsidR="004E55F2" w:rsidRDefault="004E55F2" w:rsidP="004E55F2">
      <w:pPr>
        <w:rPr>
          <w:color w:val="000000" w:themeColor="text1"/>
          <w:lang w:val="en-US" w:bidi="en-US"/>
        </w:rPr>
      </w:pPr>
      <w:r w:rsidRPr="00D87378">
        <w:rPr>
          <w:color w:val="000000" w:themeColor="text1"/>
          <w:lang w:val="en-US" w:bidi="en-US"/>
        </w:rPr>
        <w:t xml:space="preserve">There did not appear to be a relationship between the intervention </w:t>
      </w:r>
      <w:r>
        <w:rPr>
          <w:color w:val="000000" w:themeColor="text1"/>
          <w:lang w:val="en-US" w:bidi="en-US"/>
        </w:rPr>
        <w:t>recording</w:t>
      </w:r>
      <w:r w:rsidRPr="00D87378">
        <w:rPr>
          <w:color w:val="000000" w:themeColor="text1"/>
          <w:lang w:val="en-US" w:bidi="en-US"/>
        </w:rPr>
        <w:t xml:space="preserve"> rate and the pharmacist’s confidence score (</w:t>
      </w:r>
      <w:r w:rsidRPr="00D87378">
        <w:rPr>
          <w:i/>
          <w:color w:val="000000" w:themeColor="text1"/>
          <w:lang w:val="en-US" w:bidi="en-US"/>
        </w:rPr>
        <w:t>Spearman’s rho</w:t>
      </w:r>
      <w:r w:rsidRPr="00D87378">
        <w:rPr>
          <w:color w:val="000000" w:themeColor="text1"/>
          <w:lang w:val="en-US" w:bidi="en-US"/>
        </w:rPr>
        <w:t xml:space="preserve"> = -0.0</w:t>
      </w:r>
      <w:r>
        <w:rPr>
          <w:color w:val="000000" w:themeColor="text1"/>
          <w:lang w:val="en-US" w:bidi="en-US"/>
        </w:rPr>
        <w:t>6</w:t>
      </w:r>
      <w:r w:rsidRPr="00D87378">
        <w:rPr>
          <w:color w:val="000000" w:themeColor="text1"/>
          <w:lang w:val="en-US" w:bidi="en-US"/>
        </w:rPr>
        <w:t xml:space="preserve">, </w:t>
      </w:r>
      <w:r w:rsidRPr="00D87378">
        <w:rPr>
          <w:i/>
          <w:color w:val="000000" w:themeColor="text1"/>
          <w:lang w:val="en-US" w:bidi="en-US"/>
        </w:rPr>
        <w:t>N</w:t>
      </w:r>
      <w:r w:rsidRPr="00D87378">
        <w:rPr>
          <w:color w:val="000000" w:themeColor="text1"/>
          <w:lang w:val="en-US" w:bidi="en-US"/>
        </w:rPr>
        <w:t xml:space="preserve"> = 78, </w:t>
      </w:r>
      <w:r w:rsidRPr="00D87378">
        <w:rPr>
          <w:i/>
          <w:color w:val="000000" w:themeColor="text1"/>
          <w:lang w:val="en-US" w:bidi="en-US"/>
        </w:rPr>
        <w:t>p</w:t>
      </w:r>
      <w:r w:rsidRPr="00D87378">
        <w:rPr>
          <w:color w:val="000000" w:themeColor="text1"/>
          <w:lang w:val="en-US" w:bidi="en-US"/>
        </w:rPr>
        <w:t xml:space="preserve"> = 0.</w:t>
      </w:r>
      <w:r>
        <w:rPr>
          <w:color w:val="000000" w:themeColor="text1"/>
          <w:lang w:val="en-US" w:bidi="en-US"/>
        </w:rPr>
        <w:t>61</w:t>
      </w:r>
      <w:r w:rsidRPr="00D87378">
        <w:rPr>
          <w:color w:val="000000" w:themeColor="text1"/>
          <w:lang w:val="en-US" w:bidi="en-US"/>
        </w:rPr>
        <w:t>).</w:t>
      </w:r>
      <w:r w:rsidR="002211F2" w:rsidRPr="002211F2">
        <w:rPr>
          <w:lang w:val="en-US" w:bidi="en-US"/>
        </w:rPr>
        <w:t xml:space="preserve"> </w:t>
      </w:r>
      <w:r w:rsidR="002211F2">
        <w:rPr>
          <w:lang w:val="en-US" w:bidi="en-US"/>
        </w:rPr>
        <w:t>See Chapter 5 for the calculation process.</w:t>
      </w:r>
    </w:p>
    <w:p w:rsidR="004E55F2" w:rsidRPr="004E55F2" w:rsidRDefault="004E55F2" w:rsidP="004E55F2">
      <w:pPr>
        <w:rPr>
          <w:lang w:val="en-US" w:eastAsia="en-US" w:bidi="en-US"/>
        </w:rPr>
      </w:pPr>
    </w:p>
    <w:sectPr w:rsidR="004E55F2" w:rsidRPr="004E55F2" w:rsidSect="005870F3">
      <w:pgSz w:w="11906" w:h="16838"/>
      <w:pgMar w:top="1247" w:right="1247" w:bottom="1247" w:left="255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D7698C2"/>
    <w:lvl w:ilvl="0">
      <w:start w:val="1"/>
      <w:numFmt w:val="bullet"/>
      <w:lvlText w:val=""/>
      <w:lvlJc w:val="left"/>
      <w:pPr>
        <w:tabs>
          <w:tab w:val="num" w:pos="360"/>
        </w:tabs>
        <w:ind w:left="360" w:hanging="360"/>
      </w:pPr>
      <w:rPr>
        <w:rFonts w:ascii="Symbol" w:hAnsi="Symbol" w:hint="default"/>
      </w:rPr>
    </w:lvl>
  </w:abstractNum>
  <w:abstractNum w:abstractNumId="1">
    <w:nsid w:val="22346B0B"/>
    <w:multiLevelType w:val="hybridMultilevel"/>
    <w:tmpl w:val="3C7E01CE"/>
    <w:lvl w:ilvl="0" w:tplc="A3C69222">
      <w:start w:val="1"/>
      <w:numFmt w:val="bullet"/>
      <w:pStyle w:val="ListParagraph"/>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2">
    <w:nsid w:val="3B864DAA"/>
    <w:multiLevelType w:val="hybridMultilevel"/>
    <w:tmpl w:val="187EF66A"/>
    <w:lvl w:ilvl="0" w:tplc="DFA8C914">
      <w:start w:val="1"/>
      <w:numFmt w:val="bullet"/>
      <w:pStyle w:val="List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7D6613C5"/>
    <w:multiLevelType w:val="multilevel"/>
    <w:tmpl w:val="293E81A6"/>
    <w:lvl w:ilvl="0">
      <w:start w:val="1"/>
      <w:numFmt w:val="decimal"/>
      <w:pStyle w:val="Heading1"/>
      <w:lvlText w:val="%1"/>
      <w:lvlJc w:val="left"/>
      <w:pPr>
        <w:ind w:left="432" w:hanging="432"/>
      </w:pPr>
    </w:lvl>
    <w:lvl w:ilvl="1">
      <w:start w:val="1"/>
      <w:numFmt w:val="decimal"/>
      <w:pStyle w:val="Heading2"/>
      <w:lvlText w:val="%1.%2"/>
      <w:lvlJc w:val="left"/>
      <w:pPr>
        <w:ind w:left="1710" w:hanging="576"/>
      </w:pPr>
      <w:rPr>
        <w:rFonts w:asciiTheme="majorHAnsi" w:hAnsiTheme="majorHAnsi" w:hint="default"/>
        <w: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3"/>
  </w:num>
  <w:num w:numId="2">
    <w:abstractNumId w:val="3"/>
  </w:num>
  <w:num w:numId="3">
    <w:abstractNumId w:val="3"/>
  </w:num>
  <w:num w:numId="4">
    <w:abstractNumId w:val="3"/>
  </w:num>
  <w:num w:numId="5">
    <w:abstractNumId w:val="3"/>
  </w:num>
  <w:num w:numId="6">
    <w:abstractNumId w:val="3"/>
  </w:num>
  <w:num w:numId="7">
    <w:abstractNumId w:val="0"/>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4E55F2"/>
    <w:rsid w:val="00073C7F"/>
    <w:rsid w:val="000D2C3A"/>
    <w:rsid w:val="000D39EB"/>
    <w:rsid w:val="00160580"/>
    <w:rsid w:val="00165133"/>
    <w:rsid w:val="002211F2"/>
    <w:rsid w:val="00223607"/>
    <w:rsid w:val="0023188A"/>
    <w:rsid w:val="002C434F"/>
    <w:rsid w:val="002E6C42"/>
    <w:rsid w:val="003451F6"/>
    <w:rsid w:val="00394BD2"/>
    <w:rsid w:val="003978D4"/>
    <w:rsid w:val="004400DA"/>
    <w:rsid w:val="00460B38"/>
    <w:rsid w:val="00472004"/>
    <w:rsid w:val="004E03DE"/>
    <w:rsid w:val="004E55F2"/>
    <w:rsid w:val="00527E1E"/>
    <w:rsid w:val="00530AC8"/>
    <w:rsid w:val="005870F3"/>
    <w:rsid w:val="005E7559"/>
    <w:rsid w:val="006170A9"/>
    <w:rsid w:val="006D0C6D"/>
    <w:rsid w:val="007C2931"/>
    <w:rsid w:val="007D44D0"/>
    <w:rsid w:val="008A338A"/>
    <w:rsid w:val="009767A2"/>
    <w:rsid w:val="0099674F"/>
    <w:rsid w:val="00AA26B0"/>
    <w:rsid w:val="00B2398D"/>
    <w:rsid w:val="00B600D2"/>
    <w:rsid w:val="00BF5DC2"/>
    <w:rsid w:val="00C03F42"/>
    <w:rsid w:val="00C37C47"/>
    <w:rsid w:val="00C949AB"/>
    <w:rsid w:val="00C94A6A"/>
    <w:rsid w:val="00CA149C"/>
    <w:rsid w:val="00CD3ABA"/>
    <w:rsid w:val="00CE67A3"/>
    <w:rsid w:val="00D465CD"/>
    <w:rsid w:val="00DF1F34"/>
    <w:rsid w:val="00E25F7E"/>
    <w:rsid w:val="00E31770"/>
    <w:rsid w:val="00EB0641"/>
    <w:rsid w:val="00EE5C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qFormat="1"/>
    <w:lsdException w:name="List Bullet" w:uiPriority="0"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E55F2"/>
    <w:pPr>
      <w:spacing w:line="360" w:lineRule="auto"/>
    </w:pPr>
  </w:style>
  <w:style w:type="paragraph" w:styleId="Heading1">
    <w:name w:val="heading 1"/>
    <w:basedOn w:val="Normal"/>
    <w:next w:val="Normal"/>
    <w:link w:val="Heading1Char"/>
    <w:uiPriority w:val="9"/>
    <w:qFormat/>
    <w:rsid w:val="004E55F2"/>
    <w:pPr>
      <w:numPr>
        <w:numId w:val="6"/>
      </w:numPr>
      <w:spacing w:before="240" w:after="0"/>
      <w:outlineLvl w:val="0"/>
    </w:pPr>
    <w:rPr>
      <w:rFonts w:asciiTheme="majorHAnsi" w:eastAsiaTheme="majorEastAsia" w:hAnsiTheme="majorHAnsi" w:cstheme="majorBidi"/>
      <w:b/>
      <w:bCs/>
      <w:i/>
      <w:iCs/>
      <w:sz w:val="32"/>
      <w:szCs w:val="32"/>
      <w:lang w:val="en-US" w:eastAsia="en-US" w:bidi="en-US"/>
    </w:rPr>
  </w:style>
  <w:style w:type="paragraph" w:styleId="Heading2">
    <w:name w:val="heading 2"/>
    <w:basedOn w:val="Normal"/>
    <w:next w:val="Normal"/>
    <w:link w:val="Heading2Char"/>
    <w:uiPriority w:val="9"/>
    <w:unhideWhenUsed/>
    <w:qFormat/>
    <w:rsid w:val="004E55F2"/>
    <w:pPr>
      <w:keepNext/>
      <w:numPr>
        <w:ilvl w:val="1"/>
        <w:numId w:val="6"/>
      </w:numPr>
      <w:spacing w:before="320" w:after="0"/>
      <w:outlineLvl w:val="1"/>
    </w:pPr>
    <w:rPr>
      <w:rFonts w:asciiTheme="majorHAnsi" w:eastAsiaTheme="majorEastAsia" w:hAnsiTheme="majorHAnsi" w:cstheme="majorBidi"/>
      <w:b/>
      <w:bCs/>
      <w:i/>
      <w:iCs/>
      <w:sz w:val="28"/>
      <w:szCs w:val="28"/>
      <w:lang w:val="en-US" w:eastAsia="en-US" w:bidi="en-US"/>
    </w:rPr>
  </w:style>
  <w:style w:type="paragraph" w:styleId="Heading3">
    <w:name w:val="heading 3"/>
    <w:aliases w:val="Heading 3 Char Char"/>
    <w:basedOn w:val="Normal"/>
    <w:next w:val="Normal"/>
    <w:link w:val="Heading3Char"/>
    <w:uiPriority w:val="9"/>
    <w:unhideWhenUsed/>
    <w:qFormat/>
    <w:rsid w:val="004E55F2"/>
    <w:pPr>
      <w:keepNext/>
      <w:numPr>
        <w:ilvl w:val="2"/>
        <w:numId w:val="6"/>
      </w:numPr>
      <w:spacing w:before="320" w:after="0"/>
      <w:outlineLvl w:val="2"/>
    </w:pPr>
    <w:rPr>
      <w:rFonts w:asciiTheme="majorHAnsi" w:eastAsiaTheme="majorEastAsia" w:hAnsiTheme="majorHAnsi" w:cstheme="majorBidi"/>
      <w:b/>
      <w:bCs/>
      <w:i/>
      <w:iCs/>
      <w:sz w:val="26"/>
      <w:szCs w:val="26"/>
      <w:lang w:val="en-US" w:eastAsia="en-US" w:bidi="en-US"/>
    </w:rPr>
  </w:style>
  <w:style w:type="paragraph" w:styleId="Heading4">
    <w:name w:val="heading 4"/>
    <w:basedOn w:val="Normal"/>
    <w:next w:val="Normal"/>
    <w:link w:val="Heading4Char"/>
    <w:uiPriority w:val="9"/>
    <w:unhideWhenUsed/>
    <w:qFormat/>
    <w:rsid w:val="004E55F2"/>
    <w:pPr>
      <w:keepNext/>
      <w:numPr>
        <w:ilvl w:val="3"/>
        <w:numId w:val="6"/>
      </w:numPr>
      <w:spacing w:before="280" w:after="0"/>
      <w:outlineLvl w:val="3"/>
    </w:pPr>
    <w:rPr>
      <w:rFonts w:asciiTheme="majorHAnsi" w:eastAsiaTheme="majorEastAsia" w:hAnsiTheme="majorHAnsi" w:cstheme="majorBidi"/>
      <w:b/>
      <w:bCs/>
      <w:i/>
      <w:iCs/>
      <w:sz w:val="24"/>
      <w:szCs w:val="24"/>
      <w:lang w:val="en-US" w:eastAsia="en-US" w:bidi="en-US"/>
    </w:rPr>
  </w:style>
  <w:style w:type="paragraph" w:styleId="Heading5">
    <w:name w:val="heading 5"/>
    <w:basedOn w:val="Normal"/>
    <w:next w:val="Normal"/>
    <w:link w:val="Heading5Char"/>
    <w:uiPriority w:val="9"/>
    <w:unhideWhenUsed/>
    <w:qFormat/>
    <w:rsid w:val="004E55F2"/>
    <w:pPr>
      <w:keepNext/>
      <w:numPr>
        <w:ilvl w:val="4"/>
        <w:numId w:val="6"/>
      </w:numPr>
      <w:spacing w:before="280" w:after="0"/>
      <w:outlineLvl w:val="4"/>
    </w:pPr>
    <w:rPr>
      <w:rFonts w:asciiTheme="majorHAnsi" w:eastAsiaTheme="majorEastAsia" w:hAnsiTheme="majorHAnsi" w:cstheme="majorBidi"/>
      <w:b/>
      <w:bCs/>
      <w:i/>
      <w:iCs/>
      <w:lang w:val="en-US" w:eastAsia="en-US" w:bidi="en-US"/>
    </w:rPr>
  </w:style>
  <w:style w:type="paragraph" w:styleId="Heading6">
    <w:name w:val="heading 6"/>
    <w:basedOn w:val="Normal"/>
    <w:next w:val="Normal"/>
    <w:link w:val="Heading6Char"/>
    <w:uiPriority w:val="9"/>
    <w:unhideWhenUsed/>
    <w:qFormat/>
    <w:rsid w:val="004E55F2"/>
    <w:pPr>
      <w:numPr>
        <w:ilvl w:val="5"/>
        <w:numId w:val="6"/>
      </w:numPr>
      <w:spacing w:before="280" w:after="80"/>
      <w:outlineLvl w:val="5"/>
    </w:pPr>
    <w:rPr>
      <w:rFonts w:asciiTheme="majorHAnsi" w:eastAsiaTheme="majorEastAsia" w:hAnsiTheme="majorHAnsi" w:cstheme="majorBidi"/>
      <w:b/>
      <w:bCs/>
      <w:i/>
      <w:iCs/>
      <w:lang w:val="en-US" w:eastAsia="en-US" w:bidi="en-US"/>
    </w:rPr>
  </w:style>
  <w:style w:type="paragraph" w:styleId="Heading7">
    <w:name w:val="heading 7"/>
    <w:basedOn w:val="Normal"/>
    <w:next w:val="Normal"/>
    <w:link w:val="Heading7Char"/>
    <w:uiPriority w:val="9"/>
    <w:unhideWhenUsed/>
    <w:rsid w:val="004E55F2"/>
    <w:pPr>
      <w:spacing w:before="280" w:after="0"/>
      <w:ind w:left="1296" w:hanging="1296"/>
      <w:outlineLvl w:val="6"/>
    </w:pPr>
    <w:rPr>
      <w:rFonts w:asciiTheme="majorHAnsi" w:eastAsiaTheme="majorEastAsia" w:hAnsiTheme="majorHAnsi" w:cstheme="majorBidi"/>
      <w:b/>
      <w:bCs/>
      <w:i/>
      <w:iCs/>
      <w:sz w:val="20"/>
      <w:szCs w:val="20"/>
      <w:lang w:val="en-US" w:bidi="en-US"/>
    </w:rPr>
  </w:style>
  <w:style w:type="paragraph" w:styleId="Heading8">
    <w:name w:val="heading 8"/>
    <w:basedOn w:val="Normal"/>
    <w:next w:val="Normal"/>
    <w:link w:val="Heading8Char"/>
    <w:uiPriority w:val="9"/>
    <w:unhideWhenUsed/>
    <w:rsid w:val="004E55F2"/>
    <w:pPr>
      <w:spacing w:before="280" w:after="0"/>
      <w:ind w:left="1440" w:hanging="1440"/>
      <w:outlineLvl w:val="7"/>
    </w:pPr>
    <w:rPr>
      <w:rFonts w:asciiTheme="majorHAnsi" w:eastAsiaTheme="majorEastAsia" w:hAnsiTheme="majorHAnsi" w:cstheme="majorBidi"/>
      <w:b/>
      <w:bCs/>
      <w:i/>
      <w:iCs/>
      <w:sz w:val="18"/>
      <w:szCs w:val="18"/>
      <w:lang w:val="en-US" w:bidi="en-US"/>
    </w:rPr>
  </w:style>
  <w:style w:type="paragraph" w:styleId="Heading9">
    <w:name w:val="heading 9"/>
    <w:basedOn w:val="Normal"/>
    <w:next w:val="Normal"/>
    <w:link w:val="Heading9Char"/>
    <w:uiPriority w:val="9"/>
    <w:unhideWhenUsed/>
    <w:rsid w:val="004E55F2"/>
    <w:pPr>
      <w:spacing w:before="280" w:after="0"/>
      <w:ind w:left="1584" w:hanging="1584"/>
      <w:outlineLvl w:val="8"/>
    </w:pPr>
    <w:rPr>
      <w:rFonts w:asciiTheme="majorHAnsi" w:eastAsiaTheme="majorEastAsia" w:hAnsiTheme="majorHAnsi" w:cstheme="majorBidi"/>
      <w:i/>
      <w:iCs/>
      <w:sz w:val="18"/>
      <w:szCs w:val="18"/>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55F2"/>
    <w:rPr>
      <w:rFonts w:asciiTheme="majorHAnsi" w:eastAsiaTheme="majorEastAsia" w:hAnsiTheme="majorHAnsi" w:cstheme="majorBidi"/>
      <w:b/>
      <w:bCs/>
      <w:i/>
      <w:iCs/>
      <w:sz w:val="32"/>
      <w:szCs w:val="32"/>
      <w:lang w:val="en-US" w:eastAsia="en-US" w:bidi="en-US"/>
    </w:rPr>
  </w:style>
  <w:style w:type="character" w:customStyle="1" w:styleId="Heading2Char">
    <w:name w:val="Heading 2 Char"/>
    <w:basedOn w:val="DefaultParagraphFont"/>
    <w:link w:val="Heading2"/>
    <w:uiPriority w:val="9"/>
    <w:semiHidden/>
    <w:rsid w:val="004E55F2"/>
    <w:rPr>
      <w:rFonts w:asciiTheme="majorHAnsi" w:eastAsiaTheme="majorEastAsia" w:hAnsiTheme="majorHAnsi" w:cstheme="majorBidi"/>
      <w:b/>
      <w:bCs/>
      <w:i/>
      <w:iCs/>
      <w:sz w:val="28"/>
      <w:szCs w:val="28"/>
      <w:lang w:val="en-US" w:eastAsia="en-US" w:bidi="en-US"/>
    </w:rPr>
  </w:style>
  <w:style w:type="character" w:customStyle="1" w:styleId="Heading3Char">
    <w:name w:val="Heading 3 Char"/>
    <w:aliases w:val="Heading 3 Char Char Char"/>
    <w:basedOn w:val="DefaultParagraphFont"/>
    <w:link w:val="Heading3"/>
    <w:uiPriority w:val="9"/>
    <w:semiHidden/>
    <w:rsid w:val="004E55F2"/>
    <w:rPr>
      <w:rFonts w:asciiTheme="majorHAnsi" w:eastAsiaTheme="majorEastAsia" w:hAnsiTheme="majorHAnsi" w:cstheme="majorBidi"/>
      <w:b/>
      <w:bCs/>
      <w:i/>
      <w:iCs/>
      <w:sz w:val="26"/>
      <w:szCs w:val="26"/>
      <w:lang w:val="en-US" w:eastAsia="en-US" w:bidi="en-US"/>
    </w:rPr>
  </w:style>
  <w:style w:type="character" w:customStyle="1" w:styleId="Heading4Char">
    <w:name w:val="Heading 4 Char"/>
    <w:basedOn w:val="DefaultParagraphFont"/>
    <w:link w:val="Heading4"/>
    <w:uiPriority w:val="9"/>
    <w:semiHidden/>
    <w:rsid w:val="004E55F2"/>
    <w:rPr>
      <w:rFonts w:asciiTheme="majorHAnsi" w:eastAsiaTheme="majorEastAsia" w:hAnsiTheme="majorHAnsi" w:cstheme="majorBidi"/>
      <w:b/>
      <w:bCs/>
      <w:i/>
      <w:iCs/>
      <w:sz w:val="24"/>
      <w:szCs w:val="24"/>
      <w:lang w:val="en-US" w:eastAsia="en-US" w:bidi="en-US"/>
    </w:rPr>
  </w:style>
  <w:style w:type="character" w:customStyle="1" w:styleId="Heading5Char">
    <w:name w:val="Heading 5 Char"/>
    <w:basedOn w:val="DefaultParagraphFont"/>
    <w:link w:val="Heading5"/>
    <w:uiPriority w:val="9"/>
    <w:semiHidden/>
    <w:rsid w:val="004E55F2"/>
    <w:rPr>
      <w:rFonts w:asciiTheme="majorHAnsi" w:eastAsiaTheme="majorEastAsia" w:hAnsiTheme="majorHAnsi" w:cstheme="majorBidi"/>
      <w:b/>
      <w:bCs/>
      <w:i/>
      <w:iCs/>
      <w:lang w:val="en-US" w:eastAsia="en-US" w:bidi="en-US"/>
    </w:rPr>
  </w:style>
  <w:style w:type="character" w:customStyle="1" w:styleId="Heading6Char">
    <w:name w:val="Heading 6 Char"/>
    <w:basedOn w:val="DefaultParagraphFont"/>
    <w:link w:val="Heading6"/>
    <w:uiPriority w:val="9"/>
    <w:rsid w:val="004E55F2"/>
    <w:rPr>
      <w:rFonts w:asciiTheme="majorHAnsi" w:eastAsiaTheme="majorEastAsia" w:hAnsiTheme="majorHAnsi" w:cstheme="majorBidi"/>
      <w:b/>
      <w:bCs/>
      <w:i/>
      <w:iCs/>
      <w:lang w:val="en-US" w:eastAsia="en-US" w:bidi="en-US"/>
    </w:rPr>
  </w:style>
  <w:style w:type="paragraph" w:styleId="Caption">
    <w:name w:val="caption"/>
    <w:aliases w:val="Caption Char"/>
    <w:basedOn w:val="Normal"/>
    <w:next w:val="Normal"/>
    <w:link w:val="CaptionChar1"/>
    <w:uiPriority w:val="35"/>
    <w:qFormat/>
    <w:rsid w:val="004E55F2"/>
    <w:pPr>
      <w:spacing w:after="240" w:line="288" w:lineRule="auto"/>
      <w:ind w:left="426"/>
      <w:jc w:val="center"/>
    </w:pPr>
    <w:rPr>
      <w:rFonts w:cs="Arial"/>
      <w:noProof/>
    </w:rPr>
  </w:style>
  <w:style w:type="character" w:customStyle="1" w:styleId="CaptionChar1">
    <w:name w:val="Caption Char1"/>
    <w:aliases w:val="Caption Char Char"/>
    <w:basedOn w:val="DefaultParagraphFont"/>
    <w:link w:val="Caption"/>
    <w:uiPriority w:val="35"/>
    <w:rsid w:val="004E55F2"/>
    <w:rPr>
      <w:rFonts w:cs="Arial"/>
      <w:noProof/>
    </w:rPr>
  </w:style>
  <w:style w:type="paragraph" w:styleId="List">
    <w:name w:val="List"/>
    <w:basedOn w:val="Normal"/>
    <w:autoRedefine/>
    <w:qFormat/>
    <w:rsid w:val="004E55F2"/>
    <w:pPr>
      <w:spacing w:after="120"/>
      <w:ind w:left="720"/>
    </w:pPr>
    <w:rPr>
      <w:rFonts w:ascii="Verdana" w:eastAsia="Times New Roman" w:hAnsi="Verdana" w:cs="Times New Roman"/>
      <w:color w:val="5A5A5A"/>
      <w:szCs w:val="20"/>
      <w:lang w:eastAsia="en-US" w:bidi="en-US"/>
    </w:rPr>
  </w:style>
  <w:style w:type="paragraph" w:styleId="ListBullet">
    <w:name w:val="List Bullet"/>
    <w:basedOn w:val="Normal"/>
    <w:autoRedefine/>
    <w:qFormat/>
    <w:rsid w:val="004E55F2"/>
    <w:pPr>
      <w:numPr>
        <w:numId w:val="8"/>
      </w:numPr>
      <w:spacing w:after="120" w:line="276" w:lineRule="auto"/>
    </w:pPr>
    <w:rPr>
      <w:rFonts w:eastAsia="Times New Roman" w:cstheme="minorHAnsi"/>
      <w:lang w:eastAsia="en-US" w:bidi="en-US"/>
    </w:rPr>
  </w:style>
  <w:style w:type="paragraph" w:styleId="Title">
    <w:name w:val="Title"/>
    <w:basedOn w:val="Normal"/>
    <w:next w:val="Normal"/>
    <w:link w:val="TitleChar"/>
    <w:uiPriority w:val="10"/>
    <w:qFormat/>
    <w:rsid w:val="004E55F2"/>
    <w:pPr>
      <w:spacing w:after="240" w:line="240" w:lineRule="auto"/>
    </w:pPr>
    <w:rPr>
      <w:rFonts w:asciiTheme="majorHAnsi" w:eastAsiaTheme="majorEastAsia" w:hAnsiTheme="majorHAnsi" w:cstheme="majorBidi"/>
      <w:b/>
      <w:bCs/>
      <w:i/>
      <w:iCs/>
      <w:spacing w:val="10"/>
      <w:sz w:val="60"/>
      <w:szCs w:val="60"/>
      <w:lang w:val="en-US" w:eastAsia="en-US" w:bidi="en-US"/>
    </w:rPr>
  </w:style>
  <w:style w:type="character" w:customStyle="1" w:styleId="TitleChar">
    <w:name w:val="Title Char"/>
    <w:basedOn w:val="DefaultParagraphFont"/>
    <w:link w:val="Title"/>
    <w:uiPriority w:val="10"/>
    <w:rsid w:val="004E55F2"/>
    <w:rPr>
      <w:rFonts w:asciiTheme="majorHAnsi" w:eastAsiaTheme="majorEastAsia" w:hAnsiTheme="majorHAnsi" w:cstheme="majorBidi"/>
      <w:b/>
      <w:bCs/>
      <w:i/>
      <w:iCs/>
      <w:spacing w:val="10"/>
      <w:sz w:val="60"/>
      <w:szCs w:val="60"/>
      <w:lang w:val="en-US" w:eastAsia="en-US" w:bidi="en-US"/>
    </w:rPr>
  </w:style>
  <w:style w:type="paragraph" w:styleId="ListParagraph">
    <w:name w:val="List Paragraph"/>
    <w:basedOn w:val="Normal"/>
    <w:link w:val="ListParagraphChar"/>
    <w:uiPriority w:val="34"/>
    <w:qFormat/>
    <w:rsid w:val="004E55F2"/>
    <w:pPr>
      <w:numPr>
        <w:numId w:val="9"/>
      </w:numPr>
      <w:spacing w:after="120"/>
      <w:contextualSpacing/>
    </w:pPr>
    <w:rPr>
      <w:lang w:val="en-US" w:eastAsia="en-US" w:bidi="en-US"/>
    </w:rPr>
  </w:style>
  <w:style w:type="character" w:customStyle="1" w:styleId="ListParagraphChar">
    <w:name w:val="List Paragraph Char"/>
    <w:basedOn w:val="DefaultParagraphFont"/>
    <w:link w:val="ListParagraph"/>
    <w:uiPriority w:val="34"/>
    <w:rsid w:val="004E55F2"/>
    <w:rPr>
      <w:lang w:val="en-US" w:eastAsia="en-US" w:bidi="en-US"/>
    </w:rPr>
  </w:style>
  <w:style w:type="paragraph" w:styleId="Quote">
    <w:name w:val="Quote"/>
    <w:basedOn w:val="Normal"/>
    <w:next w:val="Normal"/>
    <w:link w:val="QuoteChar"/>
    <w:uiPriority w:val="29"/>
    <w:qFormat/>
    <w:rsid w:val="004E55F2"/>
    <w:pPr>
      <w:tabs>
        <w:tab w:val="left" w:pos="8505"/>
      </w:tabs>
      <w:ind w:left="284" w:right="379"/>
    </w:pPr>
    <w:rPr>
      <w:i/>
      <w:color w:val="000000" w:themeColor="text1"/>
      <w:lang w:val="en-US" w:eastAsia="en-US" w:bidi="en-US"/>
    </w:rPr>
  </w:style>
  <w:style w:type="character" w:customStyle="1" w:styleId="QuoteChar">
    <w:name w:val="Quote Char"/>
    <w:basedOn w:val="DefaultParagraphFont"/>
    <w:link w:val="Quote"/>
    <w:uiPriority w:val="29"/>
    <w:rsid w:val="004E55F2"/>
    <w:rPr>
      <w:i/>
      <w:color w:val="000000" w:themeColor="text1"/>
      <w:lang w:val="en-US" w:eastAsia="en-US" w:bidi="en-US"/>
    </w:rPr>
  </w:style>
  <w:style w:type="paragraph" w:styleId="TOCHeading">
    <w:name w:val="TOC Heading"/>
    <w:basedOn w:val="Heading1"/>
    <w:next w:val="Normal"/>
    <w:uiPriority w:val="39"/>
    <w:semiHidden/>
    <w:unhideWhenUsed/>
    <w:qFormat/>
    <w:rsid w:val="004E55F2"/>
    <w:pPr>
      <w:numPr>
        <w:numId w:val="0"/>
      </w:numPr>
      <w:outlineLvl w:val="9"/>
    </w:pPr>
  </w:style>
  <w:style w:type="paragraph" w:customStyle="1" w:styleId="Figures">
    <w:name w:val="Figures"/>
    <w:basedOn w:val="Normal"/>
    <w:next w:val="Normal"/>
    <w:qFormat/>
    <w:rsid w:val="004E55F2"/>
    <w:pPr>
      <w:spacing w:after="240" w:line="288" w:lineRule="auto"/>
      <w:jc w:val="center"/>
    </w:pPr>
    <w:rPr>
      <w:rFonts w:cs="Arial"/>
      <w:noProof/>
    </w:rPr>
  </w:style>
  <w:style w:type="paragraph" w:customStyle="1" w:styleId="TableEntryStyle">
    <w:name w:val="Table Entry Style"/>
    <w:basedOn w:val="Normal"/>
    <w:qFormat/>
    <w:rsid w:val="004E55F2"/>
    <w:pPr>
      <w:spacing w:before="60" w:after="113" w:line="240" w:lineRule="atLeast"/>
    </w:pPr>
    <w:rPr>
      <w:rFonts w:ascii="Arial" w:eastAsia="SimSun" w:hAnsi="Arial" w:cs="Times New Roman"/>
      <w:sz w:val="16"/>
      <w:szCs w:val="24"/>
      <w:lang w:eastAsia="en-US"/>
    </w:rPr>
  </w:style>
  <w:style w:type="paragraph" w:customStyle="1" w:styleId="TableColumnHeaderRow">
    <w:name w:val="Table Column Header Row"/>
    <w:basedOn w:val="Normal"/>
    <w:qFormat/>
    <w:rsid w:val="004E55F2"/>
    <w:pPr>
      <w:spacing w:before="60" w:after="113" w:line="240" w:lineRule="atLeast"/>
    </w:pPr>
    <w:rPr>
      <w:rFonts w:ascii="Arial" w:eastAsia="SimSun" w:hAnsi="Arial" w:cs="Times New Roman"/>
      <w:color w:val="EEECE1" w:themeColor="background2"/>
      <w:sz w:val="18"/>
      <w:szCs w:val="24"/>
      <w:lang w:eastAsia="en-US"/>
    </w:rPr>
  </w:style>
  <w:style w:type="paragraph" w:customStyle="1" w:styleId="TitleHeading">
    <w:name w:val="Title Heading"/>
    <w:basedOn w:val="Heading1"/>
    <w:qFormat/>
    <w:rsid w:val="004E55F2"/>
    <w:pPr>
      <w:keepNext/>
      <w:numPr>
        <w:numId w:val="0"/>
      </w:numPr>
      <w:spacing w:after="240" w:line="240" w:lineRule="auto"/>
      <w:jc w:val="both"/>
    </w:pPr>
    <w:rPr>
      <w:rFonts w:ascii="Arial" w:eastAsiaTheme="minorEastAsia" w:hAnsi="Arial" w:cs="Arial"/>
      <w:i w:val="0"/>
      <w:iCs w:val="0"/>
      <w:kern w:val="32"/>
      <w:sz w:val="36"/>
      <w:lang w:val="en-AU" w:bidi="ar-SA"/>
    </w:rPr>
  </w:style>
  <w:style w:type="paragraph" w:customStyle="1" w:styleId="Tablecontents">
    <w:name w:val="Table contents"/>
    <w:basedOn w:val="Normal"/>
    <w:link w:val="TablecontentsChar"/>
    <w:qFormat/>
    <w:rsid w:val="004E55F2"/>
    <w:pPr>
      <w:keepNext/>
      <w:keepLines/>
      <w:spacing w:after="0" w:line="276" w:lineRule="auto"/>
      <w:jc w:val="right"/>
    </w:pPr>
    <w:rPr>
      <w:rFonts w:ascii="Calibri" w:eastAsia="Times New Roman" w:hAnsi="Calibri" w:cs="Times New Roman"/>
      <w:color w:val="000000"/>
    </w:rPr>
  </w:style>
  <w:style w:type="character" w:customStyle="1" w:styleId="TablecontentsChar">
    <w:name w:val="Table contents Char"/>
    <w:basedOn w:val="DefaultParagraphFont"/>
    <w:link w:val="Tablecontents"/>
    <w:rsid w:val="004E55F2"/>
    <w:rPr>
      <w:rFonts w:ascii="Calibri" w:eastAsia="Times New Roman" w:hAnsi="Calibri" w:cs="Times New Roman"/>
      <w:color w:val="000000"/>
    </w:rPr>
  </w:style>
  <w:style w:type="paragraph" w:customStyle="1" w:styleId="Tablecolumnheadings">
    <w:name w:val="Table column headings"/>
    <w:basedOn w:val="Tablecontents"/>
    <w:link w:val="TablecolumnheadingsChar"/>
    <w:qFormat/>
    <w:rsid w:val="004E55F2"/>
    <w:pPr>
      <w:jc w:val="center"/>
    </w:pPr>
    <w:rPr>
      <w:b/>
    </w:rPr>
  </w:style>
  <w:style w:type="character" w:customStyle="1" w:styleId="TablecolumnheadingsChar">
    <w:name w:val="Table column headings Char"/>
    <w:basedOn w:val="TablecontentsChar"/>
    <w:link w:val="Tablecolumnheadings"/>
    <w:rsid w:val="004E55F2"/>
    <w:rPr>
      <w:rFonts w:ascii="Calibri" w:eastAsia="Times New Roman" w:hAnsi="Calibri" w:cs="Times New Roman"/>
      <w:b/>
      <w:color w:val="000000"/>
    </w:rPr>
  </w:style>
  <w:style w:type="paragraph" w:customStyle="1" w:styleId="Tablerowheadings2">
    <w:name w:val="Table row headings 2"/>
    <w:basedOn w:val="Tablecontents"/>
    <w:link w:val="Tablerowheadings2Char"/>
    <w:qFormat/>
    <w:rsid w:val="004E55F2"/>
    <w:pPr>
      <w:jc w:val="left"/>
    </w:pPr>
    <w:rPr>
      <w:b/>
      <w:lang w:eastAsia="en-US"/>
    </w:rPr>
  </w:style>
  <w:style w:type="character" w:customStyle="1" w:styleId="Tablerowheadings2Char">
    <w:name w:val="Table row headings 2 Char"/>
    <w:basedOn w:val="TablecontentsChar"/>
    <w:link w:val="Tablerowheadings2"/>
    <w:rsid w:val="004E55F2"/>
    <w:rPr>
      <w:rFonts w:ascii="Calibri" w:eastAsia="Times New Roman" w:hAnsi="Calibri" w:cs="Times New Roman"/>
      <w:b/>
      <w:color w:val="000000"/>
      <w:lang w:eastAsia="en-US"/>
    </w:rPr>
  </w:style>
  <w:style w:type="paragraph" w:customStyle="1" w:styleId="Tablebottomrow">
    <w:name w:val="Table bottom row"/>
    <w:basedOn w:val="Tablerowheadings2"/>
    <w:link w:val="TablebottomrowChar"/>
    <w:qFormat/>
    <w:rsid w:val="004E55F2"/>
    <w:pPr>
      <w:jc w:val="right"/>
    </w:pPr>
  </w:style>
  <w:style w:type="character" w:customStyle="1" w:styleId="TablebottomrowChar">
    <w:name w:val="Table bottom row Char"/>
    <w:basedOn w:val="Tablerowheadings2Char"/>
    <w:link w:val="Tablebottomrow"/>
    <w:rsid w:val="004E55F2"/>
    <w:rPr>
      <w:rFonts w:ascii="Calibri" w:eastAsia="Times New Roman" w:hAnsi="Calibri" w:cs="Times New Roman"/>
      <w:b/>
      <w:color w:val="000000"/>
      <w:lang w:eastAsia="en-US"/>
    </w:rPr>
  </w:style>
  <w:style w:type="paragraph" w:customStyle="1" w:styleId="Tablerowheading1">
    <w:name w:val="Table row heading 1"/>
    <w:basedOn w:val="Tablerowheadings2"/>
    <w:link w:val="Tablerowheading1Char"/>
    <w:qFormat/>
    <w:rsid w:val="004E55F2"/>
    <w:pPr>
      <w:jc w:val="center"/>
    </w:pPr>
  </w:style>
  <w:style w:type="character" w:customStyle="1" w:styleId="Tablerowheading1Char">
    <w:name w:val="Table row heading 1 Char"/>
    <w:basedOn w:val="Tablerowheadings2Char"/>
    <w:link w:val="Tablerowheading1"/>
    <w:rsid w:val="004E55F2"/>
    <w:rPr>
      <w:rFonts w:ascii="Calibri" w:eastAsia="Times New Roman" w:hAnsi="Calibri" w:cs="Times New Roman"/>
      <w:b/>
      <w:color w:val="000000"/>
      <w:lang w:eastAsia="en-US"/>
    </w:rPr>
  </w:style>
  <w:style w:type="paragraph" w:customStyle="1" w:styleId="Tabletotalbox">
    <w:name w:val="Table total box"/>
    <w:basedOn w:val="Tablebottomrow"/>
    <w:link w:val="TabletotalboxChar"/>
    <w:qFormat/>
    <w:rsid w:val="004E55F2"/>
    <w:pPr>
      <w:jc w:val="center"/>
    </w:pPr>
  </w:style>
  <w:style w:type="character" w:customStyle="1" w:styleId="TabletotalboxChar">
    <w:name w:val="Table total box Char"/>
    <w:basedOn w:val="TablebottomrowChar"/>
    <w:link w:val="Tabletotalbox"/>
    <w:rsid w:val="004E55F2"/>
    <w:rPr>
      <w:rFonts w:ascii="Calibri" w:eastAsia="Times New Roman" w:hAnsi="Calibri" w:cs="Times New Roman"/>
      <w:b/>
      <w:color w:val="000000"/>
      <w:lang w:eastAsia="en-US"/>
    </w:rPr>
  </w:style>
  <w:style w:type="character" w:customStyle="1" w:styleId="Heading7Char">
    <w:name w:val="Heading 7 Char"/>
    <w:basedOn w:val="DefaultParagraphFont"/>
    <w:link w:val="Heading7"/>
    <w:uiPriority w:val="9"/>
    <w:rsid w:val="004E55F2"/>
    <w:rPr>
      <w:rFonts w:asciiTheme="majorHAnsi" w:eastAsiaTheme="majorEastAsia" w:hAnsiTheme="majorHAnsi" w:cstheme="majorBidi"/>
      <w:b/>
      <w:bCs/>
      <w:i/>
      <w:iCs/>
      <w:sz w:val="20"/>
      <w:szCs w:val="20"/>
      <w:lang w:val="en-US" w:bidi="en-US"/>
    </w:rPr>
  </w:style>
  <w:style w:type="character" w:customStyle="1" w:styleId="Heading8Char">
    <w:name w:val="Heading 8 Char"/>
    <w:basedOn w:val="DefaultParagraphFont"/>
    <w:link w:val="Heading8"/>
    <w:uiPriority w:val="9"/>
    <w:rsid w:val="004E55F2"/>
    <w:rPr>
      <w:rFonts w:asciiTheme="majorHAnsi" w:eastAsiaTheme="majorEastAsia" w:hAnsiTheme="majorHAnsi" w:cstheme="majorBidi"/>
      <w:b/>
      <w:bCs/>
      <w:i/>
      <w:iCs/>
      <w:sz w:val="18"/>
      <w:szCs w:val="18"/>
      <w:lang w:val="en-US" w:bidi="en-US"/>
    </w:rPr>
  </w:style>
  <w:style w:type="character" w:customStyle="1" w:styleId="Heading9Char">
    <w:name w:val="Heading 9 Char"/>
    <w:basedOn w:val="DefaultParagraphFont"/>
    <w:link w:val="Heading9"/>
    <w:uiPriority w:val="9"/>
    <w:rsid w:val="004E55F2"/>
    <w:rPr>
      <w:rFonts w:asciiTheme="majorHAnsi" w:eastAsiaTheme="majorEastAsia" w:hAnsiTheme="majorHAnsi" w:cstheme="majorBidi"/>
      <w:i/>
      <w:iCs/>
      <w:sz w:val="18"/>
      <w:szCs w:val="18"/>
      <w:lang w:val="en-US" w:bidi="en-US"/>
    </w:rPr>
  </w:style>
  <w:style w:type="character" w:styleId="CommentReference">
    <w:name w:val="annotation reference"/>
    <w:basedOn w:val="DefaultParagraphFont"/>
    <w:uiPriority w:val="99"/>
    <w:unhideWhenUsed/>
    <w:rsid w:val="004E55F2"/>
    <w:rPr>
      <w:sz w:val="16"/>
      <w:szCs w:val="16"/>
    </w:rPr>
  </w:style>
  <w:style w:type="paragraph" w:styleId="CommentText">
    <w:name w:val="annotation text"/>
    <w:basedOn w:val="Normal"/>
    <w:link w:val="CommentTextChar"/>
    <w:uiPriority w:val="99"/>
    <w:unhideWhenUsed/>
    <w:rsid w:val="004E55F2"/>
    <w:pPr>
      <w:spacing w:line="240" w:lineRule="auto"/>
      <w:jc w:val="both"/>
    </w:pPr>
    <w:rPr>
      <w:rFonts w:eastAsia="Times New Roman" w:cs="Times New Roman"/>
      <w:szCs w:val="20"/>
    </w:rPr>
  </w:style>
  <w:style w:type="character" w:customStyle="1" w:styleId="CommentTextChar">
    <w:name w:val="Comment Text Char"/>
    <w:basedOn w:val="DefaultParagraphFont"/>
    <w:link w:val="CommentText"/>
    <w:uiPriority w:val="99"/>
    <w:rsid w:val="004E55F2"/>
    <w:rPr>
      <w:rFonts w:eastAsia="Times New Roman" w:cs="Times New Roman"/>
      <w:szCs w:val="20"/>
    </w:rPr>
  </w:style>
  <w:style w:type="paragraph" w:styleId="BalloonText">
    <w:name w:val="Balloon Text"/>
    <w:basedOn w:val="Normal"/>
    <w:link w:val="BalloonTextChar"/>
    <w:uiPriority w:val="99"/>
    <w:semiHidden/>
    <w:unhideWhenUsed/>
    <w:rsid w:val="004E55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55F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1319</Words>
  <Characters>7519</Characters>
  <Application>Microsoft Office Word</Application>
  <DocSecurity>0</DocSecurity>
  <Lines>62</Lines>
  <Paragraphs>17</Paragraphs>
  <ScaleCrop>false</ScaleCrop>
  <Company/>
  <LinksUpToDate>false</LinksUpToDate>
  <CharactersWithSpaces>8821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Mackenzie Williams</cp:lastModifiedBy>
  <cp:revision>3</cp:revision>
  <dcterms:created xsi:type="dcterms:W3CDTF">2011-11-29T03:51:00Z</dcterms:created>
  <dcterms:modified xsi:type="dcterms:W3CDTF">2012-02-13T04:33:00Z</dcterms:modified>
</cp:coreProperties>
</file>