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BD" w:rsidRPr="00457CBD" w:rsidRDefault="00457CBD" w:rsidP="00457CBD">
      <w:pPr>
        <w:pStyle w:val="Heading1"/>
      </w:pPr>
      <w:r w:rsidRPr="00457CBD">
        <w:t xml:space="preserve">Multivariate analysis of pharmacy factors </w:t>
      </w:r>
    </w:p>
    <w:p w:rsidR="00457CBD" w:rsidRDefault="00457CBD" w:rsidP="00457CBD">
      <w:r w:rsidRPr="00C3253D">
        <w:t>One pharmacy owner only answered the initial online survey (not the subsequent survey), therefore data for opening hours, number of professional services, pharmacy size in m</w:t>
      </w:r>
      <w:r w:rsidRPr="00C3253D">
        <w:rPr>
          <w:vertAlign w:val="superscript"/>
        </w:rPr>
        <w:t>2</w:t>
      </w:r>
      <w:r w:rsidRPr="00C3253D">
        <w:t xml:space="preserve">, financial turnover in 2007/08, banner group membership, catering for an aged care facility and whether they have had a pre-registration pharmacist in the last 2 years was missing.  A different pharmacy did not receive a site visit, therefore data for collecting prescription details/payments and number of dispensing terminals </w:t>
      </w:r>
      <w:r w:rsidR="0081758E">
        <w:t>wa</w:t>
      </w:r>
      <w:r w:rsidRPr="00C3253D">
        <w:t>s missing.</w:t>
      </w:r>
    </w:p>
    <w:tbl>
      <w:tblPr>
        <w:tblW w:w="9806" w:type="dxa"/>
        <w:tblLook w:val="04A0" w:firstRow="1" w:lastRow="0" w:firstColumn="1" w:lastColumn="0" w:noHBand="0" w:noVBand="1"/>
      </w:tblPr>
      <w:tblGrid>
        <w:gridCol w:w="3433"/>
        <w:gridCol w:w="572"/>
        <w:gridCol w:w="1164"/>
        <w:gridCol w:w="1099"/>
        <w:gridCol w:w="764"/>
        <w:gridCol w:w="954"/>
        <w:gridCol w:w="907"/>
        <w:gridCol w:w="913"/>
      </w:tblGrid>
      <w:tr w:rsidR="00457CBD" w:rsidRPr="00C3253D" w:rsidTr="001436F9">
        <w:trPr>
          <w:cantSplit/>
          <w:trHeight w:val="227"/>
        </w:trPr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lastRenderedPageBreak/>
              <w:t> 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N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Mean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Std. Deviation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Missing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 xml:space="preserve">No. of </w:t>
            </w:r>
            <w:proofErr w:type="spellStart"/>
            <w:r w:rsidRPr="001436F9">
              <w:rPr>
                <w:sz w:val="20"/>
              </w:rPr>
              <w:t>Extremes</w:t>
            </w:r>
            <w:r w:rsidRPr="001436F9">
              <w:rPr>
                <w:rFonts w:cs="Calibri"/>
                <w:sz w:val="20"/>
                <w:vertAlign w:val="superscript"/>
              </w:rPr>
              <w:t>a</w:t>
            </w:r>
            <w:proofErr w:type="spellEnd"/>
          </w:p>
        </w:tc>
      </w:tr>
      <w:tr w:rsidR="00457CBD" w:rsidRPr="00C3253D" w:rsidTr="001436F9">
        <w:trPr>
          <w:trHeight w:val="227"/>
        </w:trPr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sz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sz w:val="20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sz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Count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Percent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Low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7CBD" w:rsidRPr="001436F9" w:rsidRDefault="00457CBD" w:rsidP="003517E2">
            <w:pPr>
              <w:pStyle w:val="Tablecolumnheading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High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proofErr w:type="spellStart"/>
            <w:r w:rsidRPr="001436F9">
              <w:rPr>
                <w:sz w:val="20"/>
              </w:rPr>
              <w:t>LogCIRate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-0.667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0.434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Actual Prescription Volume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12953.790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7210.841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4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Average Pharmacist Workload Per Week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479.458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196.098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5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Pharmacy Opening Hours per Week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59.220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12.496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4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Total Number of Professional Services Offered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6.902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2.262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 xml:space="preserve">% of time pharmacist collects prescription details from patient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25.840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25.580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10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% of time pharmacist collects payment from patient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18.510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24.029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10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Location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Pharmacy Size in m2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Pharmacy $ Turnover in 2007/08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 xml:space="preserve">Member of a Banner Group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 xml:space="preserve">Cater for aged care facility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Pharmacy has had a pre-registration pharmacist within the last 2 years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rowheadings2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 xml:space="preserve">Number of Dispensing Terminals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0.5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3517E2">
            <w:pPr>
              <w:pStyle w:val="Tablecontents"/>
              <w:rPr>
                <w:rFonts w:cs="Calibri"/>
                <w:sz w:val="20"/>
              </w:rPr>
            </w:pPr>
            <w:r w:rsidRPr="001436F9">
              <w:rPr>
                <w:sz w:val="20"/>
              </w:rPr>
              <w:t> </w:t>
            </w:r>
          </w:p>
        </w:tc>
      </w:tr>
      <w:tr w:rsidR="00457CBD" w:rsidRPr="00C3253D" w:rsidTr="001436F9">
        <w:trPr>
          <w:cantSplit/>
          <w:trHeight w:val="227"/>
        </w:trPr>
        <w:tc>
          <w:tcPr>
            <w:tcW w:w="9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CBD" w:rsidRPr="001436F9" w:rsidRDefault="00457CBD" w:rsidP="0081758E">
            <w:pPr>
              <w:pStyle w:val="Tabletotalbox"/>
              <w:jc w:val="left"/>
              <w:rPr>
                <w:rFonts w:cs="Calibri"/>
                <w:b w:val="0"/>
                <w:sz w:val="20"/>
              </w:rPr>
            </w:pPr>
            <w:r w:rsidRPr="001436F9">
              <w:rPr>
                <w:b w:val="0"/>
                <w:sz w:val="20"/>
              </w:rPr>
              <w:t>a. Number of cases outside the range (Q1 - 1.5*IQR, Q3 + 1.5*IQR).</w:t>
            </w:r>
          </w:p>
        </w:tc>
      </w:tr>
    </w:tbl>
    <w:p w:rsidR="00457CBD" w:rsidRDefault="0081758E" w:rsidP="0081758E">
      <w:pPr>
        <w:pStyle w:val="Caption"/>
        <w:jc w:val="left"/>
      </w:pPr>
      <w:r>
        <w:t xml:space="preserve">Table </w:t>
      </w:r>
      <w:r w:rsidR="001436F9">
        <w:fldChar w:fldCharType="begin"/>
      </w:r>
      <w:r w:rsidR="001436F9">
        <w:instrText xml:space="preserve"> SEQ Table \* ARABIC </w:instrText>
      </w:r>
      <w:r w:rsidR="001436F9">
        <w:fldChar w:fldCharType="separate"/>
      </w:r>
      <w:r w:rsidR="005E3E47">
        <w:rPr>
          <w:noProof/>
        </w:rPr>
        <w:t>1</w:t>
      </w:r>
      <w:r w:rsidR="001436F9">
        <w:rPr>
          <w:noProof/>
        </w:rPr>
        <w:fldChar w:fldCharType="end"/>
      </w:r>
      <w:r>
        <w:t>:</w:t>
      </w:r>
      <w:r w:rsidR="00457CBD">
        <w:t xml:space="preserve"> Missing value analysis</w:t>
      </w:r>
    </w:p>
    <w:p w:rsidR="00457CBD" w:rsidRDefault="00457CBD" w:rsidP="00457CBD"/>
    <w:p w:rsidR="00457CBD" w:rsidRDefault="00457CBD" w:rsidP="00457CBD">
      <w:pPr>
        <w:pStyle w:val="Heading1"/>
      </w:pPr>
      <w:r>
        <w:lastRenderedPageBreak/>
        <w:t>Proving assumptions</w:t>
      </w:r>
    </w:p>
    <w:p w:rsidR="00457CBD" w:rsidRPr="00C3253D" w:rsidRDefault="00457CBD" w:rsidP="00457CBD">
      <w:pPr>
        <w:rPr>
          <w:lang w:eastAsia="en-US" w:bidi="en-US"/>
        </w:rPr>
      </w:pPr>
      <w:proofErr w:type="gramStart"/>
      <w:r w:rsidRPr="00C3253D">
        <w:rPr>
          <w:lang w:eastAsia="en-US" w:bidi="en-US"/>
        </w:rPr>
        <w:t xml:space="preserve">For dichotomous variables (including dummy coded variables), a split of less than 90/10 was desirable, otherwise the influence of the values in the smaller group </w:t>
      </w:r>
      <w:r w:rsidR="00ED7CCE">
        <w:rPr>
          <w:lang w:eastAsia="en-US" w:bidi="en-US"/>
        </w:rPr>
        <w:t>can</w:t>
      </w:r>
      <w:r w:rsidR="00ED7CCE" w:rsidRPr="00C3253D">
        <w:rPr>
          <w:lang w:eastAsia="en-US" w:bidi="en-US"/>
        </w:rPr>
        <w:t xml:space="preserve"> </w:t>
      </w:r>
      <w:r w:rsidRPr="00C3253D">
        <w:rPr>
          <w:lang w:eastAsia="en-US" w:bidi="en-US"/>
        </w:rPr>
        <w:t>be influential.</w:t>
      </w:r>
      <w:proofErr w:type="gramEnd"/>
      <w:r w:rsidR="0081758E">
        <w:rPr>
          <w:lang w:eastAsia="en-US" w:bidi="en-US"/>
        </w:rPr>
        <w:t xml:space="preserve">  </w:t>
      </w:r>
      <w:r w:rsidRPr="00C3253D">
        <w:rPr>
          <w:lang w:eastAsia="en-US" w:bidi="en-US"/>
        </w:rPr>
        <w:t>Binary variables all appeared to be acceptable.  The following factors had equal to or less than 90/10 split, therefore could be used as grounds for exclusion at a later date.</w:t>
      </w:r>
    </w:p>
    <w:p w:rsidR="00457CBD" w:rsidRPr="00C3253D" w:rsidRDefault="00457CBD" w:rsidP="00457CBD">
      <w:pPr>
        <w:pStyle w:val="ListParagraph"/>
        <w:rPr>
          <w:lang w:val="en-AU"/>
        </w:rPr>
      </w:pPr>
      <w:r w:rsidRPr="00C3253D">
        <w:rPr>
          <w:lang w:val="en-AU"/>
        </w:rPr>
        <w:t xml:space="preserve">Medical centre (17; 9.2%) </w:t>
      </w:r>
      <w:proofErr w:type="spellStart"/>
      <w:r w:rsidRPr="00C3253D">
        <w:rPr>
          <w:lang w:val="en-AU"/>
        </w:rPr>
        <w:t>vs</w:t>
      </w:r>
      <w:proofErr w:type="spellEnd"/>
      <w:r w:rsidRPr="00C3253D">
        <w:rPr>
          <w:lang w:val="en-AU"/>
        </w:rPr>
        <w:t xml:space="preserve"> other (168; 92.8%)</w:t>
      </w:r>
    </w:p>
    <w:p w:rsidR="00ED7CCE" w:rsidRDefault="00ED7CCE" w:rsidP="00457CBD">
      <w:pPr>
        <w:pStyle w:val="ListParagraph"/>
        <w:rPr>
          <w:lang w:val="en-AU"/>
        </w:rPr>
      </w:pPr>
      <w:r>
        <w:rPr>
          <w:lang w:val="en-AU"/>
        </w:rPr>
        <w:t>Participates in additional pharmacy trials (17</w:t>
      </w:r>
      <w:r w:rsidR="00CB6D3F">
        <w:rPr>
          <w:lang w:val="en-AU"/>
        </w:rPr>
        <w:t>0</w:t>
      </w:r>
      <w:r>
        <w:rPr>
          <w:lang w:val="en-AU"/>
        </w:rPr>
        <w:t>; 9</w:t>
      </w:r>
      <w:r w:rsidR="00CB6D3F">
        <w:rPr>
          <w:lang w:val="en-AU"/>
        </w:rPr>
        <w:t>2.4</w:t>
      </w:r>
      <w:r>
        <w:rPr>
          <w:lang w:val="en-AU"/>
        </w:rPr>
        <w:t xml:space="preserve">%) </w:t>
      </w:r>
      <w:proofErr w:type="spellStart"/>
      <w:r>
        <w:rPr>
          <w:lang w:val="en-AU"/>
        </w:rPr>
        <w:t>vs</w:t>
      </w:r>
      <w:proofErr w:type="spellEnd"/>
      <w:r>
        <w:rPr>
          <w:lang w:val="en-AU"/>
        </w:rPr>
        <w:t xml:space="preserve"> non-participants (1</w:t>
      </w:r>
      <w:r w:rsidR="00CB6D3F">
        <w:rPr>
          <w:lang w:val="en-AU"/>
        </w:rPr>
        <w:t>4</w:t>
      </w:r>
      <w:r>
        <w:rPr>
          <w:lang w:val="en-AU"/>
        </w:rPr>
        <w:t xml:space="preserve">; </w:t>
      </w:r>
      <w:r w:rsidR="00CB6D3F">
        <w:rPr>
          <w:lang w:val="en-AU"/>
        </w:rPr>
        <w:t>7.6</w:t>
      </w:r>
      <w:r>
        <w:rPr>
          <w:lang w:val="en-AU"/>
        </w:rPr>
        <w:t>%)</w:t>
      </w:r>
    </w:p>
    <w:p w:rsidR="00ED7CCE" w:rsidRPr="00C3253D" w:rsidRDefault="00ED7CCE" w:rsidP="00457CBD">
      <w:pPr>
        <w:pStyle w:val="ListParagraph"/>
        <w:rPr>
          <w:lang w:val="en-AU"/>
        </w:rPr>
      </w:pPr>
      <w:r>
        <w:rPr>
          <w:lang w:val="en-AU"/>
        </w:rPr>
        <w:t xml:space="preserve">Provides 3 or more professional services (162; 88.0%) </w:t>
      </w:r>
      <w:proofErr w:type="spellStart"/>
      <w:r>
        <w:rPr>
          <w:lang w:val="en-AU"/>
        </w:rPr>
        <w:t>vs</w:t>
      </w:r>
      <w:proofErr w:type="spellEnd"/>
      <w:r>
        <w:rPr>
          <w:lang w:val="en-AU"/>
        </w:rPr>
        <w:t xml:space="preserve"> 0-2 professional services (22; 12.0%)</w:t>
      </w:r>
    </w:p>
    <w:p w:rsidR="00457CBD" w:rsidRPr="00C3253D" w:rsidRDefault="00457CBD" w:rsidP="00457CBD">
      <w:r w:rsidRPr="00C3253D">
        <w:t>Several continuous variables also had non-normal distribution.</w:t>
      </w:r>
    </w:p>
    <w:p w:rsidR="00457CBD" w:rsidRPr="00C3253D" w:rsidRDefault="00457CBD" w:rsidP="00457CBD">
      <w:pPr>
        <w:pStyle w:val="ListParagraph"/>
        <w:numPr>
          <w:ilvl w:val="0"/>
          <w:numId w:val="1"/>
        </w:numPr>
        <w:rPr>
          <w:lang w:val="en-AU"/>
        </w:rPr>
      </w:pPr>
      <w:r w:rsidRPr="00C3253D">
        <w:rPr>
          <w:lang w:val="en-AU"/>
        </w:rPr>
        <w:t xml:space="preserve">Actual prescription volume - 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proofErr w:type="gramStart"/>
      <w:r w:rsidRPr="00C3253D">
        <w:rPr>
          <w:i/>
          <w:lang w:val="en-AU"/>
        </w:rPr>
        <w:t>D</w:t>
      </w:r>
      <w:r w:rsidRPr="00C3253D">
        <w:rPr>
          <w:lang w:val="en-AU"/>
        </w:rPr>
        <w:t>(</w:t>
      </w:r>
      <w:proofErr w:type="gramEnd"/>
      <w:r w:rsidRPr="00C3253D">
        <w:rPr>
          <w:lang w:val="en-AU"/>
        </w:rPr>
        <w:t xml:space="preserve">185) = 0.145, </w:t>
      </w:r>
      <w:r w:rsidRPr="00C3253D">
        <w:rPr>
          <w:i/>
          <w:lang w:val="en-AU"/>
        </w:rPr>
        <w:t>p</w:t>
      </w:r>
      <w:r w:rsidR="0081758E">
        <w:rPr>
          <w:i/>
          <w:lang w:val="en-AU"/>
        </w:rPr>
        <w:t xml:space="preserve"> </w:t>
      </w:r>
      <w:r w:rsidRPr="00C3253D">
        <w:rPr>
          <w:lang w:val="en-AU"/>
        </w:rPr>
        <w:t xml:space="preserve">&lt; 0.001;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(185) = 0.919,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>&lt; 0.001; improved with a log transformation (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D</w:t>
      </w:r>
      <w:r w:rsidRPr="00C3253D">
        <w:rPr>
          <w:lang w:val="en-AU"/>
        </w:rPr>
        <w:t xml:space="preserve">(185) = 0.052, </w:t>
      </w:r>
      <w:r w:rsidRPr="00C3253D">
        <w:rPr>
          <w:i/>
          <w:lang w:val="en-AU"/>
        </w:rPr>
        <w:t>p</w:t>
      </w:r>
      <w:r w:rsidRPr="00C3253D">
        <w:rPr>
          <w:lang w:val="en-AU"/>
        </w:rPr>
        <w:t xml:space="preserve"> =0.020;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(185) = 0.990,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>= 0.020).</w:t>
      </w:r>
      <w:r w:rsidR="008D49D8">
        <w:rPr>
          <w:lang w:val="en-AU"/>
        </w:rPr>
        <w:t xml:space="preserve"> However, the decision was made to separate this variable into a categorical variable to improve its performance within the model.</w:t>
      </w:r>
    </w:p>
    <w:p w:rsidR="00457CBD" w:rsidRPr="00C3253D" w:rsidRDefault="00457CBD" w:rsidP="00457CBD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C3253D">
        <w:rPr>
          <w:lang w:val="en-AU"/>
        </w:rPr>
        <w:t xml:space="preserve">Average pharmacist workload - 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proofErr w:type="gramStart"/>
      <w:r w:rsidRPr="00C3253D">
        <w:rPr>
          <w:i/>
          <w:lang w:val="en-AU"/>
        </w:rPr>
        <w:t>D</w:t>
      </w:r>
      <w:r w:rsidRPr="00C3253D">
        <w:rPr>
          <w:lang w:val="en-AU"/>
        </w:rPr>
        <w:t>(</w:t>
      </w:r>
      <w:proofErr w:type="gramEnd"/>
      <w:r w:rsidRPr="00C3253D">
        <w:rPr>
          <w:lang w:val="en-AU"/>
        </w:rPr>
        <w:t xml:space="preserve">184) = 0.059, </w:t>
      </w:r>
      <w:r w:rsidRPr="00C3253D">
        <w:rPr>
          <w:i/>
          <w:lang w:val="en-AU"/>
        </w:rPr>
        <w:t>p</w:t>
      </w:r>
      <w:r w:rsidRPr="00C3253D">
        <w:rPr>
          <w:lang w:val="en-AU"/>
        </w:rPr>
        <w:t xml:space="preserve"> = 0.020;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(184) = 0.959,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>&lt; 0.001; not greatly improved with a log transformation (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D</w:t>
      </w:r>
      <w:r w:rsidRPr="00C3253D">
        <w:rPr>
          <w:lang w:val="en-AU"/>
        </w:rPr>
        <w:t xml:space="preserve">(184) = 0.064, </w:t>
      </w:r>
      <w:r w:rsidRPr="00C3253D">
        <w:rPr>
          <w:i/>
          <w:lang w:val="en-AU"/>
        </w:rPr>
        <w:t>p</w:t>
      </w:r>
      <w:r w:rsidRPr="00C3253D">
        <w:rPr>
          <w:lang w:val="en-AU"/>
        </w:rPr>
        <w:t xml:space="preserve"> = 0.063;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(184) = 0.979,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 xml:space="preserve">= 0.007), </w:t>
      </w:r>
      <w:r w:rsidRPr="00C3253D">
        <w:rPr>
          <w:rFonts w:cstheme="minorHAnsi"/>
          <w:lang w:val="en-AU"/>
        </w:rPr>
        <w:t xml:space="preserve">therefore the variable was </w:t>
      </w:r>
      <w:r w:rsidR="00704AEE">
        <w:rPr>
          <w:rFonts w:cstheme="minorHAnsi"/>
          <w:lang w:val="en-AU"/>
        </w:rPr>
        <w:t>converted to a categorical variable.</w:t>
      </w:r>
      <w:r w:rsidRPr="00C3253D">
        <w:rPr>
          <w:rFonts w:cstheme="minorHAnsi"/>
          <w:lang w:val="en-AU"/>
        </w:rPr>
        <w:t xml:space="preserve"> </w:t>
      </w:r>
    </w:p>
    <w:p w:rsidR="00457CBD" w:rsidRPr="00704AEE" w:rsidRDefault="00457CBD" w:rsidP="00704AEE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C3253D">
        <w:rPr>
          <w:lang w:val="en-AU"/>
        </w:rPr>
        <w:t xml:space="preserve">Pharmacy opening hours per week - 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proofErr w:type="gramStart"/>
      <w:r w:rsidRPr="00C3253D">
        <w:rPr>
          <w:i/>
          <w:lang w:val="en-AU"/>
        </w:rPr>
        <w:t>D</w:t>
      </w:r>
      <w:r w:rsidRPr="00C3253D">
        <w:rPr>
          <w:lang w:val="en-AU"/>
        </w:rPr>
        <w:t>(</w:t>
      </w:r>
      <w:proofErr w:type="gramEnd"/>
      <w:r w:rsidRPr="00C3253D">
        <w:rPr>
          <w:lang w:val="en-AU"/>
        </w:rPr>
        <w:t xml:space="preserve">184) = 0.141, </w:t>
      </w:r>
      <w:r w:rsidRPr="00C3253D">
        <w:rPr>
          <w:i/>
          <w:lang w:val="en-AU"/>
        </w:rPr>
        <w:t>p</w:t>
      </w:r>
      <w:r w:rsidR="0081758E">
        <w:rPr>
          <w:i/>
          <w:lang w:val="en-AU"/>
        </w:rPr>
        <w:t xml:space="preserve"> </w:t>
      </w:r>
      <w:r w:rsidRPr="00C3253D">
        <w:rPr>
          <w:lang w:val="en-AU"/>
        </w:rPr>
        <w:t xml:space="preserve">&lt; 0.001;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(184) = 0.903,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>&lt; 0.001; not improved with a log transformation (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D</w:t>
      </w:r>
      <w:r w:rsidRPr="00C3253D">
        <w:rPr>
          <w:lang w:val="en-AU"/>
        </w:rPr>
        <w:t xml:space="preserve">(184) = 0.107, </w:t>
      </w:r>
      <w:r w:rsidRPr="00C3253D">
        <w:rPr>
          <w:i/>
          <w:lang w:val="en-AU"/>
        </w:rPr>
        <w:t>p</w:t>
      </w:r>
      <w:r w:rsidR="0081758E">
        <w:rPr>
          <w:i/>
          <w:lang w:val="en-AU"/>
        </w:rPr>
        <w:t xml:space="preserve"> </w:t>
      </w:r>
      <w:r w:rsidRPr="00C3253D">
        <w:rPr>
          <w:lang w:val="en-AU"/>
        </w:rPr>
        <w:t xml:space="preserve">&lt; 0.001;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(184) = 0.948,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 xml:space="preserve">&lt; 0.001), </w:t>
      </w:r>
      <w:r w:rsidR="00704AEE" w:rsidRPr="00C3253D">
        <w:rPr>
          <w:rFonts w:cstheme="minorHAnsi"/>
          <w:lang w:val="en-AU"/>
        </w:rPr>
        <w:t xml:space="preserve">therefore the variable was </w:t>
      </w:r>
      <w:r w:rsidR="00704AEE">
        <w:rPr>
          <w:rFonts w:cstheme="minorHAnsi"/>
          <w:lang w:val="en-AU"/>
        </w:rPr>
        <w:t xml:space="preserve">converted to a binary variable – </w:t>
      </w:r>
      <w:r w:rsidR="00704AEE" w:rsidRPr="00704AEE">
        <w:rPr>
          <w:rFonts w:cstheme="minorHAnsi"/>
          <w:lang w:val="en-AU"/>
        </w:rPr>
        <w:t xml:space="preserve">‘conventional’ </w:t>
      </w:r>
      <w:proofErr w:type="spellStart"/>
      <w:r w:rsidR="00704AEE" w:rsidRPr="00704AEE">
        <w:rPr>
          <w:rFonts w:cstheme="minorHAnsi"/>
          <w:lang w:val="en-AU"/>
        </w:rPr>
        <w:t>vs</w:t>
      </w:r>
      <w:proofErr w:type="spellEnd"/>
      <w:r w:rsidR="00704AEE" w:rsidRPr="00704AEE">
        <w:rPr>
          <w:rFonts w:cstheme="minorHAnsi"/>
          <w:lang w:val="en-AU"/>
        </w:rPr>
        <w:t xml:space="preserve"> ‘extended trade’. </w:t>
      </w:r>
    </w:p>
    <w:p w:rsidR="00457CBD" w:rsidRPr="00704AEE" w:rsidRDefault="00457CBD" w:rsidP="00704AEE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C3253D">
        <w:rPr>
          <w:rFonts w:cstheme="minorHAnsi"/>
          <w:lang w:val="en-AU"/>
        </w:rPr>
        <w:lastRenderedPageBreak/>
        <w:t xml:space="preserve">Total number of professional services offered - 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proofErr w:type="gramStart"/>
      <w:r w:rsidRPr="00C3253D">
        <w:rPr>
          <w:i/>
          <w:lang w:val="en-AU"/>
        </w:rPr>
        <w:t>D</w:t>
      </w:r>
      <w:r w:rsidRPr="00C3253D">
        <w:rPr>
          <w:lang w:val="en-AU"/>
        </w:rPr>
        <w:t>(</w:t>
      </w:r>
      <w:proofErr w:type="gramEnd"/>
      <w:r w:rsidRPr="00C3253D">
        <w:rPr>
          <w:lang w:val="en-AU"/>
        </w:rPr>
        <w:t xml:space="preserve">184) = 0.126, </w:t>
      </w:r>
      <w:r w:rsidRPr="00C3253D">
        <w:rPr>
          <w:i/>
          <w:lang w:val="en-AU"/>
        </w:rPr>
        <w:t>p</w:t>
      </w:r>
      <w:r w:rsidR="0081758E">
        <w:rPr>
          <w:i/>
          <w:lang w:val="en-AU"/>
        </w:rPr>
        <w:t xml:space="preserve"> </w:t>
      </w:r>
      <w:r w:rsidRPr="00C3253D">
        <w:rPr>
          <w:lang w:val="en-AU"/>
        </w:rPr>
        <w:t xml:space="preserve">&lt; 0.001;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WilkF</w:t>
      </w:r>
      <w:proofErr w:type="spellEnd"/>
      <w:r w:rsidRPr="00C3253D">
        <w:rPr>
          <w:lang w:val="en-AU"/>
        </w:rPr>
        <w:t xml:space="preserve">(184) = 0.973,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>&lt; 0.001, however the histogram appeared normal.</w:t>
      </w:r>
      <w:r w:rsidR="0081758E">
        <w:rPr>
          <w:lang w:val="en-AU"/>
        </w:rPr>
        <w:t xml:space="preserve">  N</w:t>
      </w:r>
      <w:r w:rsidRPr="00C3253D">
        <w:rPr>
          <w:lang w:val="en-AU"/>
        </w:rPr>
        <w:t>ot greatly improved with a log transformation (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proofErr w:type="gramStart"/>
      <w:r w:rsidRPr="00C3253D">
        <w:rPr>
          <w:i/>
          <w:lang w:val="en-AU"/>
        </w:rPr>
        <w:t>D</w:t>
      </w:r>
      <w:r w:rsidRPr="00C3253D">
        <w:rPr>
          <w:lang w:val="en-AU"/>
        </w:rPr>
        <w:t>(</w:t>
      </w:r>
      <w:proofErr w:type="gramEnd"/>
      <w:r w:rsidRPr="00C3253D">
        <w:rPr>
          <w:lang w:val="en-AU"/>
        </w:rPr>
        <w:t xml:space="preserve">184) = 0.064, </w:t>
      </w:r>
      <w:r w:rsidRPr="00C3253D">
        <w:rPr>
          <w:i/>
          <w:lang w:val="en-AU"/>
        </w:rPr>
        <w:t>p</w:t>
      </w:r>
      <w:r w:rsidRPr="00C3253D">
        <w:rPr>
          <w:lang w:val="en-AU"/>
        </w:rPr>
        <w:t xml:space="preserve"> = 0.063;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(184) = 0.979,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 xml:space="preserve">= 0.007), </w:t>
      </w:r>
      <w:r w:rsidR="00704AEE" w:rsidRPr="00C3253D">
        <w:rPr>
          <w:rFonts w:cstheme="minorHAnsi"/>
          <w:lang w:val="en-AU"/>
        </w:rPr>
        <w:t xml:space="preserve">therefore the variable was </w:t>
      </w:r>
      <w:r w:rsidR="00704AEE">
        <w:rPr>
          <w:rFonts w:cstheme="minorHAnsi"/>
          <w:lang w:val="en-AU"/>
        </w:rPr>
        <w:t xml:space="preserve">converted to a binary variable – ‘0-2 services’ </w:t>
      </w:r>
      <w:proofErr w:type="spellStart"/>
      <w:r w:rsidR="00704AEE">
        <w:rPr>
          <w:rFonts w:cstheme="minorHAnsi"/>
          <w:lang w:val="en-AU"/>
        </w:rPr>
        <w:t>vs</w:t>
      </w:r>
      <w:proofErr w:type="spellEnd"/>
      <w:r w:rsidR="00704AEE">
        <w:rPr>
          <w:rFonts w:cstheme="minorHAnsi"/>
          <w:lang w:val="en-AU"/>
        </w:rPr>
        <w:t xml:space="preserve"> ‘3 or more services’.</w:t>
      </w:r>
    </w:p>
    <w:p w:rsidR="00704AEE" w:rsidRPr="00704AEE" w:rsidRDefault="00457CBD" w:rsidP="00704AEE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C3253D">
        <w:rPr>
          <w:rFonts w:cstheme="minorHAnsi"/>
          <w:lang w:val="en-AU"/>
        </w:rPr>
        <w:t xml:space="preserve">Percentage of time the pharmacist collects prescription details and collects payment - 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D</w:t>
      </w:r>
      <w:r w:rsidRPr="00C3253D">
        <w:rPr>
          <w:lang w:val="en-AU"/>
        </w:rPr>
        <w:t xml:space="preserve">(184) = 0.200, </w:t>
      </w:r>
      <w:r w:rsidR="0081758E">
        <w:rPr>
          <w:lang w:val="en-AU"/>
        </w:rPr>
        <w:t xml:space="preserve"> </w:t>
      </w:r>
      <w:r w:rsidRPr="00C3253D">
        <w:rPr>
          <w:i/>
          <w:lang w:val="en-AU"/>
        </w:rPr>
        <w:t>p</w:t>
      </w:r>
      <w:r w:rsidRPr="00C3253D">
        <w:rPr>
          <w:lang w:val="en-AU"/>
        </w:rPr>
        <w:t xml:space="preserve">&lt; 0.001 and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(184) = 0.845,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 xml:space="preserve">&lt; 0.001; </w:t>
      </w:r>
      <w:r w:rsidRPr="00C3253D">
        <w:rPr>
          <w:i/>
          <w:lang w:val="en-AU"/>
        </w:rPr>
        <w:t>Kolmogorov-Smirnov</w:t>
      </w:r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D</w:t>
      </w:r>
      <w:r w:rsidRPr="00C3253D">
        <w:rPr>
          <w:lang w:val="en-AU"/>
        </w:rPr>
        <w:t xml:space="preserve">(184) = 0.274, </w:t>
      </w:r>
      <w:r w:rsidRPr="00C3253D">
        <w:rPr>
          <w:i/>
          <w:lang w:val="en-AU"/>
        </w:rPr>
        <w:t>p</w:t>
      </w:r>
      <w:r w:rsidRPr="00C3253D">
        <w:rPr>
          <w:lang w:val="en-AU"/>
        </w:rPr>
        <w:t xml:space="preserve">&lt; 0.001; </w:t>
      </w:r>
      <w:r w:rsidRPr="00C3253D">
        <w:rPr>
          <w:i/>
          <w:lang w:val="en-AU"/>
        </w:rPr>
        <w:t>Shapiro-</w:t>
      </w:r>
      <w:proofErr w:type="spellStart"/>
      <w:r w:rsidRPr="00C3253D">
        <w:rPr>
          <w:i/>
          <w:lang w:val="en-AU"/>
        </w:rPr>
        <w:t>Wilk</w:t>
      </w:r>
      <w:proofErr w:type="spellEnd"/>
      <w:r w:rsidR="0081758E">
        <w:rPr>
          <w:i/>
          <w:lang w:val="en-AU"/>
        </w:rPr>
        <w:t xml:space="preserve"> </w:t>
      </w:r>
      <w:r w:rsidRPr="00C3253D">
        <w:rPr>
          <w:i/>
          <w:lang w:val="en-AU"/>
        </w:rPr>
        <w:t>F</w:t>
      </w:r>
      <w:r w:rsidRPr="00C3253D">
        <w:rPr>
          <w:lang w:val="en-AU"/>
        </w:rPr>
        <w:t xml:space="preserve">(184) = 0.763, </w:t>
      </w:r>
      <w:r w:rsidRPr="00C3253D">
        <w:rPr>
          <w:i/>
          <w:lang w:val="en-AU"/>
        </w:rPr>
        <w:t xml:space="preserve">p </w:t>
      </w:r>
      <w:r w:rsidRPr="00C3253D">
        <w:rPr>
          <w:lang w:val="en-AU"/>
        </w:rPr>
        <w:t>&lt; 0.001 respectively, however there were a large</w:t>
      </w:r>
      <w:r w:rsidRPr="00C3253D">
        <w:rPr>
          <w:rFonts w:cstheme="minorHAnsi"/>
          <w:lang w:val="en-AU"/>
        </w:rPr>
        <w:t xml:space="preserve"> number of zeros within the variable (for example, many pharmacists collected prescription details and payment 0% of the time), therefore transformation was not attempted. </w:t>
      </w:r>
      <w:r w:rsidR="00704AEE">
        <w:rPr>
          <w:rFonts w:cstheme="minorHAnsi"/>
          <w:lang w:val="en-AU"/>
        </w:rPr>
        <w:t xml:space="preserve">Variable was converted to a binary variable – ‘high’ </w:t>
      </w:r>
      <w:proofErr w:type="spellStart"/>
      <w:r w:rsidR="00704AEE">
        <w:rPr>
          <w:rFonts w:cstheme="minorHAnsi"/>
          <w:lang w:val="en-AU"/>
        </w:rPr>
        <w:t>vs</w:t>
      </w:r>
      <w:proofErr w:type="spellEnd"/>
      <w:r w:rsidR="00704AEE">
        <w:rPr>
          <w:rFonts w:cstheme="minorHAnsi"/>
          <w:lang w:val="en-AU"/>
        </w:rPr>
        <w:t xml:space="preserve"> ‘low’ patient contact time.</w:t>
      </w:r>
    </w:p>
    <w:p w:rsidR="00457CBD" w:rsidRDefault="003517E2" w:rsidP="003517E2">
      <w:pPr>
        <w:pStyle w:val="Heading1"/>
      </w:pPr>
      <w:r>
        <w:lastRenderedPageBreak/>
        <w:t>Model 1 (tables)</w:t>
      </w:r>
    </w:p>
    <w:tbl>
      <w:tblPr>
        <w:tblW w:w="10780" w:type="dxa"/>
        <w:tblInd w:w="91" w:type="dxa"/>
        <w:tblLook w:val="04A0" w:firstRow="1" w:lastRow="0" w:firstColumn="1" w:lastColumn="0" w:noHBand="0" w:noVBand="1"/>
      </w:tblPr>
      <w:tblGrid>
        <w:gridCol w:w="954"/>
        <w:gridCol w:w="947"/>
        <w:gridCol w:w="955"/>
        <w:gridCol w:w="1035"/>
        <w:gridCol w:w="977"/>
        <w:gridCol w:w="954"/>
        <w:gridCol w:w="954"/>
        <w:gridCol w:w="939"/>
        <w:gridCol w:w="940"/>
        <w:gridCol w:w="957"/>
        <w:gridCol w:w="1168"/>
      </w:tblGrid>
      <w:tr w:rsidR="007E7970" w:rsidRPr="007E7970" w:rsidTr="001436F9">
        <w:trPr>
          <w:cantSplit/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bookmarkStart w:id="0" w:name="_Ref296516497"/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Model </w:t>
            </w:r>
            <w:proofErr w:type="spellStart"/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Summary</w:t>
            </w: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</w:rPr>
              <w:t>g</w:t>
            </w:r>
            <w:proofErr w:type="spellEnd"/>
          </w:p>
        </w:tc>
      </w:tr>
      <w:tr w:rsidR="007E7970" w:rsidRPr="007E7970" w:rsidTr="001436F9">
        <w:trPr>
          <w:cantSplit/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Model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R Square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Adjusted R Square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Std. Error of the Estimate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Change Statistics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Durbin-Watson</w:t>
            </w:r>
          </w:p>
        </w:tc>
      </w:tr>
      <w:tr w:rsidR="007E7970" w:rsidRPr="007E7970" w:rsidTr="001436F9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</w:t>
            </w: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</w:rPr>
              <w:t>2</w:t>
            </w: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 Change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F Change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df1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df2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Sig. F Change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7E7970" w:rsidRPr="007E7970" w:rsidTr="001436F9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.208</w:t>
            </w:r>
            <w:r w:rsidRPr="007E7970">
              <w:rPr>
                <w:rFonts w:ascii="Calibri" w:eastAsia="Times New Roman" w:hAnsi="Calibri" w:cs="Calibri"/>
                <w:color w:val="000000"/>
                <w:vertAlign w:val="superscrip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0.415436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8.157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E7970">
              <w:rPr>
                <w:rFonts w:ascii="Calibri" w:eastAsia="Times New Roman" w:hAnsi="Calibri" w:cs="Calibri"/>
              </w:rPr>
              <w:t> 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.269</w:t>
            </w:r>
            <w:r w:rsidRPr="007E7970">
              <w:rPr>
                <w:rFonts w:ascii="Calibri" w:eastAsia="Times New Roman" w:hAnsi="Calibri" w:cs="Calibri"/>
                <w:color w:val="000000"/>
                <w:vertAlign w:val="superscript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0.410204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5.646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E7970">
              <w:rPr>
                <w:rFonts w:ascii="Calibri" w:eastAsia="Times New Roman" w:hAnsi="Calibri" w:cs="Calibri"/>
              </w:rPr>
              <w:t> 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.307</w:t>
            </w:r>
            <w:r w:rsidRPr="007E7970">
              <w:rPr>
                <w:rFonts w:ascii="Calibri" w:eastAsia="Times New Roman" w:hAnsi="Calibri" w:cs="Calibri"/>
                <w:color w:val="000000"/>
                <w:vertAlign w:val="superscript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0.406417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4.37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E7970">
              <w:rPr>
                <w:rFonts w:ascii="Calibri" w:eastAsia="Times New Roman" w:hAnsi="Calibri" w:cs="Calibri"/>
              </w:rPr>
              <w:t> </w:t>
            </w:r>
          </w:p>
        </w:tc>
      </w:tr>
      <w:tr w:rsidR="007E7970" w:rsidRPr="007E7970" w:rsidTr="001436F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.330</w:t>
            </w:r>
            <w:r w:rsidRPr="007E7970">
              <w:rPr>
                <w:rFonts w:ascii="Calibri" w:eastAsia="Times New Roman" w:hAnsi="Calibri" w:cs="Calibri"/>
                <w:color w:val="000000"/>
                <w:vertAlign w:val="superscript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0.404325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2.857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E7970">
              <w:rPr>
                <w:rFonts w:ascii="Calibri" w:eastAsia="Times New Roman" w:hAnsi="Calibri" w:cs="Calibri"/>
              </w:rPr>
              <w:t> </w:t>
            </w:r>
          </w:p>
        </w:tc>
      </w:tr>
      <w:tr w:rsidR="007E7970" w:rsidRPr="007E7970" w:rsidTr="001436F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.361</w:t>
            </w:r>
            <w:r w:rsidRPr="007E7970">
              <w:rPr>
                <w:rFonts w:ascii="Calibri" w:eastAsia="Times New Roman" w:hAnsi="Calibri" w:cs="Calibri"/>
                <w:color w:val="000000"/>
                <w:vertAlign w:val="superscript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0.400497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4.419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E7970">
              <w:rPr>
                <w:rFonts w:ascii="Calibri" w:eastAsia="Times New Roman" w:hAnsi="Calibri" w:cs="Calibri"/>
              </w:rPr>
              <w:t> 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7970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.381</w:t>
            </w:r>
            <w:r w:rsidRPr="007E7970">
              <w:rPr>
                <w:rFonts w:ascii="Calibri" w:eastAsia="Times New Roman" w:hAnsi="Calibri" w:cs="Calibri"/>
                <w:color w:val="000000"/>
                <w:vertAlign w:val="superscript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0.39821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3.039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0.083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7E7970" w:rsidRDefault="007E7970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7970">
              <w:rPr>
                <w:rFonts w:ascii="Calibri" w:eastAsia="Times New Roman" w:hAnsi="Calibri" w:cs="Calibri"/>
                <w:color w:val="000000"/>
              </w:rPr>
              <w:t>1.799</w:t>
            </w:r>
          </w:p>
        </w:tc>
      </w:tr>
      <w:tr w:rsidR="007E7970" w:rsidRPr="007E7970" w:rsidTr="001436F9">
        <w:trPr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a. Predictors: (Constant), Caters for aged care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b. Predictors: (Constant), Caters for aged care, Pharmacy area 150 to 250m2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c. Predictors: (Constant), Caters for aged care, Pharmacy area 150 to 250m2, High Pharmacist Workload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d. Predictors: (Constant), Caters for aged care, Pharmacy area 150 to 250m2, High Pharmacist Workload, </w:t>
            </w:r>
            <w:proofErr w:type="spellStart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Pharmacy$Turnover</w:t>
            </w:r>
            <w:proofErr w:type="spellEnd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 1.5to2.5M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e. Predictors: (Constant), Caters for aged care, Pharmacy area 150 to 250m2, High Pharmacist Workload, </w:t>
            </w:r>
            <w:proofErr w:type="spellStart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Pharmacy$Turnover</w:t>
            </w:r>
            <w:proofErr w:type="spellEnd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 1.5to2.5M, </w:t>
            </w:r>
            <w:proofErr w:type="spellStart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Pharmacy$Turnover</w:t>
            </w:r>
            <w:proofErr w:type="spellEnd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 2.5to4.0M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f. Predictors: (Constant), Caters for aged care, Pharmacy area 150 to 250m2, High Pharmacist Workload, </w:t>
            </w:r>
            <w:proofErr w:type="spellStart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Pharmacy$Turnover</w:t>
            </w:r>
            <w:proofErr w:type="spellEnd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 1.5to2.5M, </w:t>
            </w:r>
            <w:proofErr w:type="spellStart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Pharmacy$Turnover</w:t>
            </w:r>
            <w:proofErr w:type="spellEnd"/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 xml:space="preserve"> 2.5to4.0M, Participates in pharmacy trials</w:t>
            </w:r>
          </w:p>
        </w:tc>
      </w:tr>
      <w:tr w:rsidR="007E7970" w:rsidRPr="007E7970" w:rsidTr="001436F9">
        <w:trPr>
          <w:cantSplit/>
          <w:trHeight w:val="20"/>
        </w:trPr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970" w:rsidRPr="001436F9" w:rsidRDefault="007E7970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g. Depen</w:t>
            </w:r>
            <w:r w:rsidR="00683EFD" w:rsidRPr="001436F9">
              <w:rPr>
                <w:rFonts w:ascii="Calibri" w:eastAsia="Times New Roman" w:hAnsi="Calibri" w:cs="Calibri"/>
                <w:color w:val="000000"/>
                <w:sz w:val="20"/>
              </w:rPr>
              <w:t>dent Variable: Log CI Rate</w:t>
            </w:r>
          </w:p>
        </w:tc>
      </w:tr>
    </w:tbl>
    <w:p w:rsidR="003517E2" w:rsidRDefault="007E7970" w:rsidP="007E7970">
      <w:pPr>
        <w:pStyle w:val="Caption"/>
        <w:jc w:val="left"/>
      </w:pPr>
      <w:r>
        <w:t xml:space="preserve">Table </w:t>
      </w:r>
      <w:r w:rsidR="001436F9">
        <w:fldChar w:fldCharType="begin"/>
      </w:r>
      <w:r w:rsidR="001436F9">
        <w:instrText xml:space="preserve"> SEQ Table \* ARABIC </w:instrText>
      </w:r>
      <w:r w:rsidR="001436F9">
        <w:fldChar w:fldCharType="separate"/>
      </w:r>
      <w:r w:rsidR="005E3E47">
        <w:rPr>
          <w:noProof/>
        </w:rPr>
        <w:t>2</w:t>
      </w:r>
      <w:r w:rsidR="001436F9">
        <w:rPr>
          <w:noProof/>
        </w:rPr>
        <w:fldChar w:fldCharType="end"/>
      </w:r>
      <w:r>
        <w:t>:</w:t>
      </w:r>
      <w:bookmarkEnd w:id="0"/>
      <w:r>
        <w:t xml:space="preserve"> </w:t>
      </w:r>
      <w:r w:rsidR="003517E2" w:rsidRPr="00C3253D">
        <w:t xml:space="preserve">Stepwise regression model for all </w:t>
      </w:r>
      <w:r>
        <w:t>v</w:t>
      </w:r>
      <w:r w:rsidR="003517E2" w:rsidRPr="00C3253D">
        <w:t>ariables</w:t>
      </w:r>
      <w:r w:rsidR="00683EFD">
        <w:t xml:space="preserve"> </w:t>
      </w:r>
    </w:p>
    <w:tbl>
      <w:tblPr>
        <w:tblW w:w="14051" w:type="dxa"/>
        <w:tblInd w:w="91" w:type="dxa"/>
        <w:tblLook w:val="04A0" w:firstRow="1" w:lastRow="0" w:firstColumn="1" w:lastColumn="0" w:noHBand="0" w:noVBand="1"/>
      </w:tblPr>
      <w:tblGrid>
        <w:gridCol w:w="914"/>
        <w:gridCol w:w="1590"/>
        <w:gridCol w:w="1766"/>
        <w:gridCol w:w="930"/>
        <w:gridCol w:w="1480"/>
        <w:gridCol w:w="942"/>
        <w:gridCol w:w="940"/>
        <w:gridCol w:w="5489"/>
      </w:tblGrid>
      <w:tr w:rsidR="00E57B4B" w:rsidRPr="007E7970" w:rsidTr="00B96236">
        <w:trPr>
          <w:cantSplit/>
          <w:trHeight w:val="300"/>
        </w:trPr>
        <w:tc>
          <w:tcPr>
            <w:tcW w:w="8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proofErr w:type="spellStart"/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lastRenderedPageBreak/>
              <w:t>ANOVA</w:t>
            </w: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</w:rPr>
              <w:t>g</w:t>
            </w:r>
            <w:proofErr w:type="spellEnd"/>
          </w:p>
        </w:tc>
        <w:tc>
          <w:tcPr>
            <w:tcW w:w="5489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E57B4B" w:rsidRPr="007E7970" w:rsidTr="00B96236">
        <w:trPr>
          <w:cantSplit/>
          <w:trHeight w:val="236"/>
        </w:trPr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Model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Sum of Squares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df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Mean Square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Sig.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Regression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1.408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1.408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8.157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.005</w:t>
            </w:r>
            <w:r w:rsidRPr="001436F9">
              <w:rPr>
                <w:rFonts w:ascii="Calibri" w:eastAsia="Times New Roman" w:hAnsi="Calibri" w:cs="Calibri"/>
                <w:color w:val="000000"/>
                <w:sz w:val="20"/>
                <w:vertAlign w:val="superscript"/>
              </w:rPr>
              <w:t>a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Residual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31.238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0.173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32.646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Regression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2.358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1.179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7.006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.001</w:t>
            </w:r>
            <w:r w:rsidRPr="001436F9">
              <w:rPr>
                <w:rFonts w:ascii="Calibri" w:eastAsia="Times New Roman" w:hAnsi="Calibri" w:cs="Calibri"/>
                <w:color w:val="000000"/>
                <w:sz w:val="20"/>
                <w:vertAlign w:val="superscript"/>
              </w:rPr>
              <w:t>b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Residual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30.288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0.168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32.646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Regression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3.08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1.027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6.215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  <w:r w:rsidRPr="001436F9">
              <w:rPr>
                <w:rFonts w:ascii="Calibri" w:eastAsia="Times New Roman" w:hAnsi="Calibri" w:cs="Calibri"/>
                <w:color w:val="000000"/>
                <w:sz w:val="20"/>
                <w:vertAlign w:val="superscript"/>
              </w:rPr>
              <w:t>c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Residual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29.566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0.165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32.646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Regression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3.547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0.887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5.424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  <w:r w:rsidRPr="001436F9">
              <w:rPr>
                <w:rFonts w:ascii="Calibri" w:eastAsia="Times New Roman" w:hAnsi="Calibri" w:cs="Calibri"/>
                <w:color w:val="000000"/>
                <w:sz w:val="20"/>
                <w:vertAlign w:val="superscript"/>
              </w:rPr>
              <w:t>d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Residual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29.099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0.163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32.646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Regression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4.256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0.851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5.306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  <w:r w:rsidRPr="001436F9">
              <w:rPr>
                <w:rFonts w:ascii="Calibri" w:eastAsia="Times New Roman" w:hAnsi="Calibri" w:cs="Calibri"/>
                <w:color w:val="000000"/>
                <w:sz w:val="20"/>
                <w:vertAlign w:val="superscript"/>
              </w:rPr>
              <w:t>e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Residual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28.39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trHeight w:val="227"/>
        </w:trPr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32.646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6</w:t>
            </w:r>
          </w:p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Regression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4.737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4.979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  <w:r w:rsidRPr="001436F9">
              <w:rPr>
                <w:rFonts w:ascii="Calibri" w:eastAsia="Times New Roman" w:hAnsi="Calibri" w:cs="Calibri"/>
                <w:color w:val="000000"/>
                <w:sz w:val="20"/>
                <w:vertAlign w:val="superscript"/>
              </w:rPr>
              <w:t>f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Residual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27.908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0.159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1436F9">
        <w:trPr>
          <w:cantSplit/>
          <w:trHeight w:val="227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32.646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1436F9">
              <w:rPr>
                <w:rFonts w:ascii="Calibri" w:eastAsia="Times New Roman" w:hAnsi="Calibri" w:cs="Calibri"/>
                <w:color w:val="000000"/>
                <w:sz w:val="20"/>
              </w:rPr>
              <w:t>182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B4B" w:rsidRPr="001436F9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1436F9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54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57B4B" w:rsidRPr="007E7970" w:rsidTr="00B96236">
        <w:trPr>
          <w:cantSplit/>
          <w:trHeight w:val="29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a. Predictors: (Constant), Caters for aged care</w:t>
            </w:r>
          </w:p>
        </w:tc>
      </w:tr>
      <w:tr w:rsidR="00E57B4B" w:rsidRPr="007E7970" w:rsidTr="00B96236">
        <w:trPr>
          <w:cantSplit/>
          <w:trHeight w:val="271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b. Predictors: (Constant), Caters for aged care, Pharmacy area 150 to 250m2</w:t>
            </w:r>
          </w:p>
        </w:tc>
      </w:tr>
      <w:tr w:rsidR="00E57B4B" w:rsidRPr="007E7970" w:rsidTr="00B96236">
        <w:trPr>
          <w:cantSplit/>
          <w:trHeight w:val="27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 Predictors: (Constant), Caters for aged care, Pharmacy area 150 to 250m2, High Pharmacist Workload</w:t>
            </w:r>
          </w:p>
        </w:tc>
      </w:tr>
      <w:tr w:rsidR="00E57B4B" w:rsidRPr="007E7970" w:rsidTr="00B96236">
        <w:trPr>
          <w:cantSplit/>
          <w:trHeight w:val="279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d. Predictors: (Constant), Caters for aged care, Pharmacy area 150 to 250m2, High Pharmacist Workload, </w:t>
            </w:r>
            <w:proofErr w:type="spellStart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Pharmacy$Turnover</w:t>
            </w:r>
            <w:proofErr w:type="spellEnd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1.5to2.5M</w:t>
            </w:r>
          </w:p>
        </w:tc>
      </w:tr>
      <w:tr w:rsidR="00E57B4B" w:rsidRPr="007E7970" w:rsidTr="00B96236">
        <w:trPr>
          <w:cantSplit/>
          <w:trHeight w:val="268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e. Predictors: (Constant), Caters for aged care, Pharmacy area 150 to 250m2, High Pharmacist Workload, </w:t>
            </w:r>
            <w:proofErr w:type="spellStart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Pharmacy$Turnover</w:t>
            </w:r>
            <w:proofErr w:type="spellEnd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1.5to2.5M, </w:t>
            </w:r>
            <w:proofErr w:type="spellStart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Pharmacy$Turnover</w:t>
            </w:r>
            <w:proofErr w:type="spellEnd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2.5to4.0M</w:t>
            </w:r>
          </w:p>
        </w:tc>
      </w:tr>
      <w:tr w:rsidR="00E57B4B" w:rsidRPr="007E7970" w:rsidTr="00B96236">
        <w:trPr>
          <w:cantSplit/>
          <w:trHeight w:val="557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7E7970" w:rsidRDefault="00E57B4B" w:rsidP="007E7970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f. Predictors: (Constant), Caters for aged care, Pharmacy area 150 to 250m2, High Pharmacist Workload, </w:t>
            </w:r>
            <w:proofErr w:type="spellStart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Pharmacy$Turnover</w:t>
            </w:r>
            <w:proofErr w:type="spellEnd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1.5to2.5M, </w:t>
            </w:r>
            <w:proofErr w:type="spellStart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Pharmacy$Turnover</w:t>
            </w:r>
            <w:proofErr w:type="spellEnd"/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2.5to4.0M, Participates in pharmacy trials</w:t>
            </w:r>
          </w:p>
        </w:tc>
      </w:tr>
      <w:tr w:rsidR="00E57B4B" w:rsidRPr="007E7970" w:rsidTr="00B96236">
        <w:trPr>
          <w:cantSplit/>
          <w:trHeight w:val="30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7B4B" w:rsidRPr="007E7970" w:rsidRDefault="00E57B4B" w:rsidP="00683EFD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g. Dependent Variable: Log</w:t>
            </w:r>
            <w:r w:rsidR="00683E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</w:t>
            </w:r>
            <w:r w:rsidR="00683E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7E797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Rate</w:t>
            </w:r>
          </w:p>
        </w:tc>
      </w:tr>
    </w:tbl>
    <w:p w:rsidR="003517E2" w:rsidRDefault="00B96236" w:rsidP="007E7970">
      <w:pPr>
        <w:pStyle w:val="Caption"/>
        <w:jc w:val="left"/>
      </w:pPr>
      <w:r>
        <w:t xml:space="preserve">Table </w:t>
      </w:r>
      <w:r w:rsidR="001436F9">
        <w:fldChar w:fldCharType="begin"/>
      </w:r>
      <w:r w:rsidR="001436F9">
        <w:instrText xml:space="preserve"> SEQ Table \* ARABIC </w:instrText>
      </w:r>
      <w:r w:rsidR="001436F9">
        <w:fldChar w:fldCharType="separate"/>
      </w:r>
      <w:r w:rsidR="005E3E47">
        <w:rPr>
          <w:noProof/>
        </w:rPr>
        <w:t>3</w:t>
      </w:r>
      <w:r w:rsidR="001436F9">
        <w:rPr>
          <w:noProof/>
        </w:rPr>
        <w:fldChar w:fldCharType="end"/>
      </w:r>
      <w:r>
        <w:t>:</w:t>
      </w:r>
      <w:r w:rsidR="003517E2" w:rsidRPr="00C3253D">
        <w:t xml:space="preserve"> ANOVAs for stepwise regression model for all variables</w:t>
      </w:r>
    </w:p>
    <w:tbl>
      <w:tblPr>
        <w:tblW w:w="142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976"/>
        <w:gridCol w:w="851"/>
        <w:gridCol w:w="850"/>
        <w:gridCol w:w="1418"/>
        <w:gridCol w:w="850"/>
        <w:gridCol w:w="776"/>
        <w:gridCol w:w="928"/>
        <w:gridCol w:w="928"/>
        <w:gridCol w:w="770"/>
        <w:gridCol w:w="850"/>
        <w:gridCol w:w="790"/>
        <w:gridCol w:w="1073"/>
        <w:gridCol w:w="709"/>
      </w:tblGrid>
      <w:tr w:rsidR="00B96236" w:rsidRPr="005E3E47" w:rsidTr="001436F9">
        <w:trPr>
          <w:cantSplit/>
          <w:trHeight w:val="20"/>
        </w:trPr>
        <w:tc>
          <w:tcPr>
            <w:tcW w:w="3417" w:type="dxa"/>
            <w:gridSpan w:val="2"/>
            <w:vMerge w:val="restart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lastRenderedPageBreak/>
              <w:t>Model</w:t>
            </w:r>
          </w:p>
        </w:tc>
        <w:tc>
          <w:tcPr>
            <w:tcW w:w="1701" w:type="dxa"/>
            <w:gridSpan w:val="2"/>
            <w:shd w:val="clear" w:color="000000" w:fill="D9D9D9"/>
            <w:vAlign w:val="bottom"/>
            <w:hideMark/>
          </w:tcPr>
          <w:p w:rsidR="00B96236" w:rsidRPr="005E3E47" w:rsidRDefault="00B96236" w:rsidP="00683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proofErr w:type="spellStart"/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Unstandardi</w:t>
            </w:r>
            <w:r w:rsidR="00683EFD"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</w:t>
            </w: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ed</w:t>
            </w:r>
            <w:proofErr w:type="spellEnd"/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 Coefficients</w:t>
            </w:r>
          </w:p>
        </w:tc>
        <w:tc>
          <w:tcPr>
            <w:tcW w:w="1418" w:type="dxa"/>
            <w:shd w:val="clear" w:color="000000" w:fill="D9D9D9"/>
            <w:vAlign w:val="bottom"/>
            <w:hideMark/>
          </w:tcPr>
          <w:p w:rsidR="00B96236" w:rsidRPr="005E3E47" w:rsidRDefault="00683EFD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Standardis</w:t>
            </w:r>
            <w:r w:rsidR="00B96236"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ed Coefficients</w:t>
            </w:r>
          </w:p>
        </w:tc>
        <w:tc>
          <w:tcPr>
            <w:tcW w:w="850" w:type="dxa"/>
            <w:vMerge w:val="restart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</w:t>
            </w:r>
          </w:p>
        </w:tc>
        <w:tc>
          <w:tcPr>
            <w:tcW w:w="776" w:type="dxa"/>
            <w:vMerge w:val="restart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Sig.</w:t>
            </w:r>
          </w:p>
        </w:tc>
        <w:tc>
          <w:tcPr>
            <w:tcW w:w="1856" w:type="dxa"/>
            <w:gridSpan w:val="2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95.0% Confidence Interval for B</w:t>
            </w:r>
          </w:p>
        </w:tc>
        <w:tc>
          <w:tcPr>
            <w:tcW w:w="2410" w:type="dxa"/>
            <w:gridSpan w:val="3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Correlations</w:t>
            </w:r>
          </w:p>
        </w:tc>
        <w:tc>
          <w:tcPr>
            <w:tcW w:w="1782" w:type="dxa"/>
            <w:gridSpan w:val="2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proofErr w:type="spellStart"/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Collinearity</w:t>
            </w:r>
            <w:proofErr w:type="spellEnd"/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 Statistics</w:t>
            </w:r>
          </w:p>
        </w:tc>
      </w:tr>
      <w:tr w:rsidR="00B96236" w:rsidRPr="005E3E47" w:rsidTr="001436F9">
        <w:trPr>
          <w:trHeight w:val="20"/>
        </w:trPr>
        <w:tc>
          <w:tcPr>
            <w:tcW w:w="3417" w:type="dxa"/>
            <w:gridSpan w:val="2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B</w:t>
            </w:r>
          </w:p>
        </w:tc>
        <w:tc>
          <w:tcPr>
            <w:tcW w:w="850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Std. Error</w:t>
            </w:r>
          </w:p>
        </w:tc>
        <w:tc>
          <w:tcPr>
            <w:tcW w:w="1418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Beta</w:t>
            </w:r>
          </w:p>
        </w:tc>
        <w:tc>
          <w:tcPr>
            <w:tcW w:w="850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776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28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Lower Bound</w:t>
            </w:r>
          </w:p>
        </w:tc>
        <w:tc>
          <w:tcPr>
            <w:tcW w:w="928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Upper Bound</w:t>
            </w:r>
          </w:p>
        </w:tc>
        <w:tc>
          <w:tcPr>
            <w:tcW w:w="770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Zero-order</w:t>
            </w:r>
          </w:p>
        </w:tc>
        <w:tc>
          <w:tcPr>
            <w:tcW w:w="850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Partial</w:t>
            </w:r>
          </w:p>
        </w:tc>
        <w:tc>
          <w:tcPr>
            <w:tcW w:w="790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Part</w:t>
            </w:r>
          </w:p>
        </w:tc>
        <w:tc>
          <w:tcPr>
            <w:tcW w:w="1073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Tolerance</w:t>
            </w:r>
          </w:p>
        </w:tc>
        <w:tc>
          <w:tcPr>
            <w:tcW w:w="709" w:type="dxa"/>
            <w:shd w:val="clear" w:color="000000" w:fill="D9D9D9"/>
            <w:vAlign w:val="bottom"/>
            <w:hideMark/>
          </w:tcPr>
          <w:p w:rsidR="00B96236" w:rsidRPr="001436F9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</w:pPr>
            <w:r w:rsidRPr="001436F9">
              <w:rPr>
                <w:rFonts w:ascii="Calibri" w:eastAsia="Times New Roman" w:hAnsi="Calibri" w:cs="Calibri"/>
                <w:b/>
                <w:bCs/>
                <w:color w:val="000000"/>
                <w:sz w:val="18"/>
              </w:rPr>
              <w:t>VIF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 w:val="restart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(Constant)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-0.595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-15.748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-0.669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-0.52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1073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Caters for aged care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-0.185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-2.856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0.005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-0.313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-0.057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 w:val="restart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(Constant)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-0.567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-14.539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683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-0.644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-0.49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1073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Caters for aged care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-0.159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-2.451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0.015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-0.288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-0.031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-0.176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0.972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1.029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 area 150 to 250 m2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-0.184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0.077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-2.376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0.019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-0.337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-0.031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-0.174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-0.171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0.972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1.029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 w:val="restart"/>
            <w:shd w:val="clear" w:color="000000" w:fill="D9D9D9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(Constant)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-0.529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0.043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-12.366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683EFD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0.000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-0.614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-0.445</w:t>
            </w:r>
          </w:p>
        </w:tc>
        <w:tc>
          <w:tcPr>
            <w:tcW w:w="77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1073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Caters for aged care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-0.152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-2.081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-0.265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-0.007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-0.154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-0.148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0.943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1.06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 area 150 to 250 m2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-0.192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0.077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-2.505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0.013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-0.344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-0.041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-0.184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-0.178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0.969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1.032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High Pharmacist Workload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-0.151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-2.09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0.038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-0.264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-0.008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-0.172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-0.154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-0.149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0.97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1.031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 w:val="restart"/>
            <w:shd w:val="clear" w:color="000000" w:fill="D8D8D8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(Constant)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00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0.046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-10.874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683EFD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0.000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-0.591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-0.409</w:t>
            </w:r>
          </w:p>
        </w:tc>
        <w:tc>
          <w:tcPr>
            <w:tcW w:w="77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1073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Caters for aged care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-0.139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-2.143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0.033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-0.268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-0.011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-0.159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-0.152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0.942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1.061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 area 150 to 250 m2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-0.164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0.078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-0.154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-2.097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0.037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-0.318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-0.01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-0.155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-0.148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0.924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1.082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High Pharmacist Workload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-1.981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0.049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-0.256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.000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-0.172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-0.147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0.966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1.035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proofErr w:type="spellStart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 1.5 to 2.5M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-0.11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-1.69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0.093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-0.239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0.018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-0.126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0.951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1.052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 w:val="restart"/>
            <w:shd w:val="clear" w:color="000000" w:fill="D8D8D8"/>
            <w:noWrap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(Constant)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-0.456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0.05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-9.089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683EFD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0.000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-0.555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-0.357</w:t>
            </w:r>
          </w:p>
        </w:tc>
        <w:tc>
          <w:tcPr>
            <w:tcW w:w="77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1073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Caters for aged care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-1.892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-0.251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0.005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-0.141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-0.133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0.929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1.077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 area 150 to 250 m2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0.079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-1.692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0.092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-0.289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0.022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-0.126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-0.119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0.893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1.12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High Pharmacist Workload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0.064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-0.145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-2.031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0.044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-0.257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-0.004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-0.172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-0.151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-0.142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0.966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1.036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proofErr w:type="spellStart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 1.5 to 2.5M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-0.169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-2.401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0.017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-0.308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-0.03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-0.178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-0.168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0.801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1.249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proofErr w:type="spellStart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 2.5 to 4.0M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0.08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-2.102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0.037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-0.326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-0.01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-0.124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-0.156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-0.147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0.818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1.222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 w:val="restart"/>
            <w:shd w:val="clear" w:color="000000" w:fill="D8D8D8"/>
            <w:noWrap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(Constant)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-0.277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0.114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-2.423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0.016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-0.502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-0.051</w:t>
            </w:r>
          </w:p>
        </w:tc>
        <w:tc>
          <w:tcPr>
            <w:tcW w:w="77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1073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96236" w:rsidRPr="005E3E47" w:rsidRDefault="00B96236" w:rsidP="00B962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5E3E47">
              <w:rPr>
                <w:rFonts w:ascii="Calibri" w:eastAsia="Times New Roman" w:hAnsi="Calibri" w:cs="Calibri"/>
                <w:sz w:val="20"/>
              </w:rPr>
              <w:t> 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Caters for aged care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-0.118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0.065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-1.83</w:t>
            </w:r>
            <w:r w:rsidR="00683EFD" w:rsidRPr="005E3E47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-0.246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0.009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-0.137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-0.128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0.927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1.079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 area 150 to 250 m2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-0.118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0.079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-0.111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-1.491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0.138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-0.273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0.038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-0.203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-0.112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-0.104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0.881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1.135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High Pharmacist Workload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-0.117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0.064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-1.824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-0.244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0.01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-0.172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-0.136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-0.127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0.952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1.05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proofErr w:type="spellStart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 1.5 to 2.5M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-0.185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0.071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-0.206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-2.624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0.009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-0.325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-0.046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-0.166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-0.194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-0.183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0.787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1.271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proofErr w:type="spellStart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 2.5 to 4.0M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-0.171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0.079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-0.165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-2.146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0.033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-0.327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-0.014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-0.124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-0.16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-0.15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0.818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1.222</w:t>
            </w:r>
          </w:p>
        </w:tc>
      </w:tr>
      <w:tr w:rsidR="00B96236" w:rsidRPr="005E3E47" w:rsidTr="001436F9">
        <w:trPr>
          <w:trHeight w:val="20"/>
        </w:trPr>
        <w:tc>
          <w:tcPr>
            <w:tcW w:w="441" w:type="dxa"/>
            <w:vMerge/>
            <w:vAlign w:val="center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hideMark/>
          </w:tcPr>
          <w:p w:rsidR="00B96236" w:rsidRPr="005E3E47" w:rsidRDefault="00B96236" w:rsidP="00B962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b/>
                <w:color w:val="000000"/>
                <w:sz w:val="20"/>
              </w:rPr>
              <w:t>Participates in pharmacy trials</w:t>
            </w:r>
          </w:p>
        </w:tc>
        <w:tc>
          <w:tcPr>
            <w:tcW w:w="851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-0.197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0.113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-0.124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-1.743</w:t>
            </w:r>
          </w:p>
        </w:tc>
        <w:tc>
          <w:tcPr>
            <w:tcW w:w="776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0.083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-0.42</w:t>
            </w:r>
            <w:r w:rsidR="00704AEE">
              <w:rPr>
                <w:rFonts w:ascii="Calibri" w:eastAsia="Times New Roman" w:hAnsi="Calibri" w:cs="Calibri"/>
                <w:color w:val="000000"/>
                <w:sz w:val="20"/>
              </w:rPr>
              <w:t>0</w:t>
            </w:r>
          </w:p>
        </w:tc>
        <w:tc>
          <w:tcPr>
            <w:tcW w:w="928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0.026</w:t>
            </w:r>
          </w:p>
        </w:tc>
        <w:tc>
          <w:tcPr>
            <w:tcW w:w="77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-0.145</w:t>
            </w:r>
          </w:p>
        </w:tc>
        <w:tc>
          <w:tcPr>
            <w:tcW w:w="85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-0.13</w:t>
            </w:r>
          </w:p>
        </w:tc>
        <w:tc>
          <w:tcPr>
            <w:tcW w:w="790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-0.122</w:t>
            </w:r>
          </w:p>
        </w:tc>
        <w:tc>
          <w:tcPr>
            <w:tcW w:w="1073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0.958</w:t>
            </w:r>
          </w:p>
        </w:tc>
        <w:tc>
          <w:tcPr>
            <w:tcW w:w="709" w:type="dxa"/>
            <w:shd w:val="clear" w:color="000000" w:fill="FFFFFF"/>
            <w:hideMark/>
          </w:tcPr>
          <w:p w:rsidR="00B96236" w:rsidRPr="005E3E47" w:rsidRDefault="00B96236" w:rsidP="00B962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>1.043</w:t>
            </w:r>
          </w:p>
        </w:tc>
      </w:tr>
      <w:tr w:rsidR="00B96236" w:rsidRPr="005E3E47" w:rsidTr="001436F9">
        <w:trPr>
          <w:cantSplit/>
          <w:trHeight w:val="20"/>
        </w:trPr>
        <w:tc>
          <w:tcPr>
            <w:tcW w:w="14210" w:type="dxa"/>
            <w:gridSpan w:val="14"/>
            <w:shd w:val="clear" w:color="000000" w:fill="FFFFFF"/>
            <w:vAlign w:val="bottom"/>
            <w:hideMark/>
          </w:tcPr>
          <w:p w:rsidR="00B96236" w:rsidRPr="005E3E47" w:rsidRDefault="00B96236" w:rsidP="00683EFD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5E3E47">
              <w:rPr>
                <w:rFonts w:ascii="Calibri" w:eastAsia="Times New Roman" w:hAnsi="Calibri" w:cs="Calibri"/>
                <w:color w:val="000000"/>
                <w:sz w:val="20"/>
              </w:rPr>
              <w:t xml:space="preserve">a. Dependent Variable: Log CI Rate </w:t>
            </w:r>
          </w:p>
        </w:tc>
      </w:tr>
    </w:tbl>
    <w:p w:rsidR="003517E2" w:rsidRPr="001436F9" w:rsidRDefault="00683EFD" w:rsidP="00683EFD">
      <w:pPr>
        <w:pStyle w:val="Caption"/>
        <w:jc w:val="left"/>
        <w:rPr>
          <w:sz w:val="20"/>
        </w:rPr>
      </w:pPr>
      <w:r w:rsidRPr="001436F9">
        <w:rPr>
          <w:sz w:val="20"/>
        </w:rPr>
        <w:t xml:space="preserve">Table </w:t>
      </w:r>
      <w:r w:rsidR="001436F9" w:rsidRPr="001436F9">
        <w:rPr>
          <w:sz w:val="20"/>
        </w:rPr>
        <w:fldChar w:fldCharType="begin"/>
      </w:r>
      <w:r w:rsidR="001436F9" w:rsidRPr="001436F9">
        <w:rPr>
          <w:sz w:val="20"/>
        </w:rPr>
        <w:instrText xml:space="preserve"> SEQ Table \* ARABIC </w:instrText>
      </w:r>
      <w:r w:rsidR="001436F9" w:rsidRPr="001436F9">
        <w:rPr>
          <w:sz w:val="20"/>
        </w:rPr>
        <w:fldChar w:fldCharType="separate"/>
      </w:r>
      <w:r w:rsidR="005E3E47" w:rsidRPr="001436F9">
        <w:rPr>
          <w:noProof/>
          <w:sz w:val="20"/>
        </w:rPr>
        <w:t>4</w:t>
      </w:r>
      <w:r w:rsidR="001436F9" w:rsidRPr="001436F9">
        <w:rPr>
          <w:noProof/>
          <w:sz w:val="20"/>
        </w:rPr>
        <w:fldChar w:fldCharType="end"/>
      </w:r>
      <w:r w:rsidRPr="001436F9">
        <w:rPr>
          <w:sz w:val="20"/>
        </w:rPr>
        <w:t>:</w:t>
      </w:r>
      <w:r w:rsidR="003517E2" w:rsidRPr="001436F9">
        <w:rPr>
          <w:sz w:val="20"/>
        </w:rPr>
        <w:t xml:space="preserve"> Coefficients for stepwise regression model for all variables</w:t>
      </w:r>
    </w:p>
    <w:tbl>
      <w:tblPr>
        <w:tblW w:w="5168" w:type="dxa"/>
        <w:tblInd w:w="93" w:type="dxa"/>
        <w:tblLook w:val="04A0" w:firstRow="1" w:lastRow="0" w:firstColumn="1" w:lastColumn="0" w:noHBand="0" w:noVBand="1"/>
      </w:tblPr>
      <w:tblGrid>
        <w:gridCol w:w="965"/>
        <w:gridCol w:w="992"/>
        <w:gridCol w:w="1127"/>
        <w:gridCol w:w="1092"/>
        <w:gridCol w:w="992"/>
      </w:tblGrid>
      <w:tr w:rsidR="00683EFD" w:rsidRPr="00683EFD" w:rsidTr="00683EFD">
        <w:trPr>
          <w:cantSplit/>
          <w:trHeight w:val="345"/>
        </w:trPr>
        <w:tc>
          <w:tcPr>
            <w:tcW w:w="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683EFD" w:rsidRPr="00683EFD" w:rsidRDefault="00683EFD" w:rsidP="00683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lastRenderedPageBreak/>
              <w:t>Casewise</w:t>
            </w:r>
            <w:proofErr w:type="spellEnd"/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>Diagnostics</w:t>
            </w:r>
            <w:r w:rsidRPr="00683EFD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a</w:t>
            </w:r>
            <w:proofErr w:type="spellEnd"/>
          </w:p>
        </w:tc>
      </w:tr>
      <w:tr w:rsidR="00683EFD" w:rsidRPr="00683EFD" w:rsidTr="00683EFD">
        <w:trPr>
          <w:cantSplit/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683EFD" w:rsidRPr="00683EFD" w:rsidRDefault="00683EFD" w:rsidP="00683E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>Case Number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683EFD" w:rsidRPr="00683EFD" w:rsidRDefault="00683EFD" w:rsidP="00683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>Std. Residual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683EFD" w:rsidRPr="00683EFD" w:rsidRDefault="00683EFD" w:rsidP="00683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>LogCIRate</w:t>
            </w:r>
            <w:proofErr w:type="spell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683EFD" w:rsidRPr="00683EFD" w:rsidRDefault="00683EFD" w:rsidP="00683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>Predicted Value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683EFD" w:rsidRPr="00683EFD" w:rsidRDefault="00683EFD" w:rsidP="00683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>Residual</w:t>
            </w:r>
          </w:p>
        </w:tc>
      </w:tr>
      <w:tr w:rsidR="00683EFD" w:rsidRPr="00683EFD" w:rsidTr="00683EFD">
        <w:trPr>
          <w:cantSplit/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EFD" w:rsidRPr="00683EFD" w:rsidRDefault="00683EFD" w:rsidP="00683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b/>
                <w:bCs/>
                <w:color w:val="000000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FD" w:rsidRPr="00683EFD" w:rsidRDefault="00683EFD" w:rsidP="00683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color w:val="000000"/>
              </w:rPr>
              <w:t>-3.071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FD" w:rsidRPr="00683EFD" w:rsidRDefault="00683EFD" w:rsidP="00683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color w:val="000000"/>
              </w:rPr>
              <w:t>-2.000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FD" w:rsidRPr="00683EFD" w:rsidRDefault="00683EFD" w:rsidP="00683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color w:val="000000"/>
              </w:rPr>
              <w:t>-0.777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FD" w:rsidRPr="00683EFD" w:rsidRDefault="00683EFD" w:rsidP="00683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color w:val="000000"/>
              </w:rPr>
              <w:t>-1.223</w:t>
            </w:r>
          </w:p>
        </w:tc>
      </w:tr>
      <w:tr w:rsidR="00683EFD" w:rsidRPr="00683EFD" w:rsidTr="00683EFD">
        <w:trPr>
          <w:cantSplit/>
          <w:trHeight w:val="300"/>
        </w:trPr>
        <w:tc>
          <w:tcPr>
            <w:tcW w:w="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FD" w:rsidRPr="00683EFD" w:rsidRDefault="00683EFD" w:rsidP="00683EFD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EFD">
              <w:rPr>
                <w:rFonts w:ascii="Calibri" w:eastAsia="Times New Roman" w:hAnsi="Calibri" w:cstheme="minorHAnsi"/>
                <w:color w:val="000000"/>
              </w:rPr>
              <w:t>a. Dependent Variable: Log CI Rate</w:t>
            </w:r>
          </w:p>
        </w:tc>
      </w:tr>
    </w:tbl>
    <w:p w:rsidR="00683EFD" w:rsidRDefault="00683EFD" w:rsidP="00683EFD">
      <w:pPr>
        <w:pStyle w:val="Caption"/>
        <w:jc w:val="left"/>
      </w:pPr>
      <w:r>
        <w:t xml:space="preserve">Table </w:t>
      </w:r>
      <w:r w:rsidR="001436F9">
        <w:fldChar w:fldCharType="begin"/>
      </w:r>
      <w:r w:rsidR="001436F9">
        <w:instrText xml:space="preserve"> SEQ Table \* ARABIC </w:instrText>
      </w:r>
      <w:r w:rsidR="001436F9">
        <w:fldChar w:fldCharType="separate"/>
      </w:r>
      <w:r w:rsidR="005E3E47">
        <w:rPr>
          <w:noProof/>
        </w:rPr>
        <w:t>5</w:t>
      </w:r>
      <w:r w:rsidR="001436F9">
        <w:rPr>
          <w:noProof/>
        </w:rPr>
        <w:fldChar w:fldCharType="end"/>
      </w:r>
      <w:r>
        <w:t>: Outlying case</w:t>
      </w:r>
      <w:r w:rsidRPr="00C3253D">
        <w:t xml:space="preserve"> for model 1</w:t>
      </w:r>
    </w:p>
    <w:p w:rsidR="003517E2" w:rsidRPr="00C3253D" w:rsidRDefault="000A1215" w:rsidP="003517E2"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10025" cy="3111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728" t="2162" b="24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11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EFD" w:rsidRPr="005E3E47" w:rsidRDefault="003517E2" w:rsidP="005E3E47">
      <w:pPr>
        <w:rPr>
          <w:lang w:eastAsia="en-US" w:bidi="en-US"/>
        </w:rPr>
      </w:pPr>
      <w:bookmarkStart w:id="1" w:name="_Ref296517838"/>
      <w:r w:rsidRPr="00C3253D">
        <w:t xml:space="preserve">Figure </w:t>
      </w:r>
      <w:r w:rsidR="001436F9">
        <w:fldChar w:fldCharType="begin"/>
      </w:r>
      <w:r w:rsidR="001436F9">
        <w:instrText xml:space="preserve"> SEQ Figure \* ARABIC </w:instrText>
      </w:r>
      <w:r w:rsidR="001436F9">
        <w:fldChar w:fldCharType="separate"/>
      </w:r>
      <w:r w:rsidR="005E3E47">
        <w:rPr>
          <w:noProof/>
        </w:rPr>
        <w:t>1</w:t>
      </w:r>
      <w:r w:rsidR="001436F9">
        <w:rPr>
          <w:noProof/>
        </w:rPr>
        <w:fldChar w:fldCharType="end"/>
      </w:r>
      <w:bookmarkEnd w:id="1"/>
      <w:r w:rsidRPr="00C3253D">
        <w:t>: Residual plot for model 1</w:t>
      </w:r>
      <w:r>
        <w:t xml:space="preserve"> (</w:t>
      </w:r>
      <w:r>
        <w:rPr>
          <w:lang w:eastAsia="en-US" w:bidi="en-US"/>
        </w:rPr>
        <w:t>t</w:t>
      </w:r>
      <w:r w:rsidRPr="00C3253D">
        <w:rPr>
          <w:lang w:eastAsia="en-US" w:bidi="en-US"/>
        </w:rPr>
        <w:t>he clumps of data</w:t>
      </w:r>
      <w:r>
        <w:rPr>
          <w:lang w:eastAsia="en-US" w:bidi="en-US"/>
        </w:rPr>
        <w:t xml:space="preserve"> are</w:t>
      </w:r>
      <w:r w:rsidRPr="00C3253D">
        <w:rPr>
          <w:lang w:eastAsia="en-US" w:bidi="en-US"/>
        </w:rPr>
        <w:t xml:space="preserve"> likely due </w:t>
      </w:r>
      <w:r w:rsidR="000A1215">
        <w:rPr>
          <w:lang w:eastAsia="en-US" w:bidi="en-US"/>
        </w:rPr>
        <w:t xml:space="preserve">to </w:t>
      </w:r>
      <w:r w:rsidRPr="00C3253D">
        <w:rPr>
          <w:lang w:eastAsia="en-US" w:bidi="en-US"/>
        </w:rPr>
        <w:t>all the included var</w:t>
      </w:r>
      <w:r>
        <w:rPr>
          <w:lang w:eastAsia="en-US" w:bidi="en-US"/>
        </w:rPr>
        <w:t>iables being of a binary nature)</w:t>
      </w:r>
    </w:p>
    <w:p w:rsidR="001436F9" w:rsidRDefault="001436F9">
      <w:pPr>
        <w:spacing w:line="276" w:lineRule="auto"/>
        <w:rPr>
          <w:rFonts w:eastAsiaTheme="majorEastAsia" w:cstheme="minorHAnsi"/>
          <w:b/>
          <w:bCs/>
          <w:color w:val="000000" w:themeColor="text1"/>
          <w:sz w:val="24"/>
          <w:szCs w:val="24"/>
          <w:lang w:eastAsia="en-US" w:bidi="en-US"/>
        </w:rPr>
      </w:pPr>
      <w:r>
        <w:rPr>
          <w:lang w:eastAsia="en-US" w:bidi="en-US"/>
        </w:rPr>
        <w:br w:type="page"/>
      </w:r>
    </w:p>
    <w:p w:rsidR="003517E2" w:rsidRDefault="003517E2" w:rsidP="003517E2">
      <w:pPr>
        <w:pStyle w:val="Heading1"/>
        <w:rPr>
          <w:lang w:eastAsia="en-US" w:bidi="en-US"/>
        </w:rPr>
      </w:pPr>
      <w:r>
        <w:rPr>
          <w:lang w:eastAsia="en-US" w:bidi="en-US"/>
        </w:rPr>
        <w:lastRenderedPageBreak/>
        <w:t>Model 2 (tables)</w:t>
      </w:r>
    </w:p>
    <w:tbl>
      <w:tblPr>
        <w:tblW w:w="10560" w:type="dxa"/>
        <w:tblInd w:w="93" w:type="dxa"/>
        <w:tblLook w:val="04A0" w:firstRow="1" w:lastRow="0" w:firstColumn="1" w:lastColumn="0" w:noHBand="0" w:noVBand="1"/>
      </w:tblPr>
      <w:tblGrid>
        <w:gridCol w:w="945"/>
        <w:gridCol w:w="931"/>
        <w:gridCol w:w="949"/>
        <w:gridCol w:w="1035"/>
        <w:gridCol w:w="1053"/>
        <w:gridCol w:w="953"/>
        <w:gridCol w:w="953"/>
        <w:gridCol w:w="914"/>
        <w:gridCol w:w="918"/>
        <w:gridCol w:w="953"/>
        <w:gridCol w:w="956"/>
      </w:tblGrid>
      <w:tr w:rsidR="003251AB" w:rsidRPr="003251AB" w:rsidTr="003251AB">
        <w:trPr>
          <w:trHeight w:val="300"/>
        </w:trPr>
        <w:tc>
          <w:tcPr>
            <w:tcW w:w="10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Model </w:t>
            </w:r>
            <w:proofErr w:type="spellStart"/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Summary</w:t>
            </w: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  <w:t>f</w:t>
            </w:r>
            <w:proofErr w:type="spellEnd"/>
          </w:p>
        </w:tc>
      </w:tr>
      <w:tr w:rsidR="003251AB" w:rsidRPr="003251AB" w:rsidTr="003251AB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Model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R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R Square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Adjusted R Square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Std. Error of the Estimate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Change Statistics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Durbin-Watson</w:t>
            </w:r>
          </w:p>
        </w:tc>
      </w:tr>
      <w:tr w:rsidR="003251AB" w:rsidRPr="003251AB" w:rsidTr="003251AB">
        <w:trPr>
          <w:trHeight w:val="6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R</w:t>
            </w: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  <w:t>2</w:t>
            </w: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Change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F Change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df1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df2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Sig. F Change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3251AB" w:rsidRPr="003251AB" w:rsidTr="003251AB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.258</w:t>
            </w:r>
            <w:r w:rsidRPr="003251AB">
              <w:rPr>
                <w:rFonts w:ascii="Calibri" w:eastAsia="Times New Roman" w:hAnsi="Calibri" w:cs="Times New Roman"/>
                <w:color w:val="000000"/>
                <w:vertAlign w:val="superscrip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0.410296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12.925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251A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3251AB" w:rsidRPr="003251AB" w:rsidTr="003251AB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.313</w:t>
            </w:r>
            <w:r w:rsidRPr="003251AB">
              <w:rPr>
                <w:rFonts w:ascii="Calibri" w:eastAsia="Times New Roman" w:hAnsi="Calibri" w:cs="Times New Roman"/>
                <w:color w:val="000000"/>
                <w:vertAlign w:val="superscript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0.404516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6.21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251A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3251AB" w:rsidRPr="003251AB" w:rsidTr="003251AB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.345</w:t>
            </w:r>
            <w:r w:rsidRPr="003251AB">
              <w:rPr>
                <w:rFonts w:ascii="Calibri" w:eastAsia="Times New Roman" w:hAnsi="Calibri" w:cs="Times New Roman"/>
                <w:color w:val="000000"/>
                <w:vertAlign w:val="superscript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0.400788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4.365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251A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3251AB" w:rsidRPr="003251AB" w:rsidTr="003251AB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.368</w:t>
            </w:r>
            <w:r w:rsidRPr="003251AB">
              <w:rPr>
                <w:rFonts w:ascii="Calibri" w:eastAsia="Times New Roman" w:hAnsi="Calibri" w:cs="Times New Roman"/>
                <w:color w:val="000000"/>
                <w:vertAlign w:val="superscript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0.39812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3.407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251A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3251AB" w:rsidRPr="003251AB" w:rsidTr="003251AB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3251AB" w:rsidRDefault="003251AB" w:rsidP="003251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.386</w:t>
            </w:r>
            <w:r w:rsidRPr="003251AB">
              <w:rPr>
                <w:rFonts w:ascii="Calibri" w:eastAsia="Times New Roman" w:hAnsi="Calibri" w:cs="Times New Roman"/>
                <w:color w:val="000000"/>
                <w:vertAlign w:val="superscript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0.396173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2.754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0.099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1.811</w:t>
            </w:r>
          </w:p>
        </w:tc>
      </w:tr>
      <w:tr w:rsidR="003251AB" w:rsidRPr="003251AB" w:rsidTr="003251AB">
        <w:trPr>
          <w:trHeight w:val="70"/>
        </w:trPr>
        <w:tc>
          <w:tcPr>
            <w:tcW w:w="10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a. Predictors: (Constant), </w:t>
            </w:r>
            <w:proofErr w:type="spellStart"/>
            <w:r w:rsidRPr="003251AB">
              <w:rPr>
                <w:rFonts w:ascii="Calibri" w:eastAsia="Times New Roman" w:hAnsi="Calibri" w:cs="Times New Roman"/>
                <w:color w:val="000000"/>
              </w:rPr>
              <w:t>Pharmacy$Turnover</w:t>
            </w:r>
            <w:proofErr w:type="spellEnd"/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 1.5to4.0M</w:t>
            </w:r>
          </w:p>
        </w:tc>
      </w:tr>
      <w:tr w:rsidR="003251AB" w:rsidRPr="003251AB" w:rsidTr="003251AB">
        <w:trPr>
          <w:trHeight w:val="201"/>
        </w:trPr>
        <w:tc>
          <w:tcPr>
            <w:tcW w:w="10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b. Predictors: (Constant), </w:t>
            </w:r>
            <w:proofErr w:type="spellStart"/>
            <w:r w:rsidRPr="003251AB">
              <w:rPr>
                <w:rFonts w:ascii="Calibri" w:eastAsia="Times New Roman" w:hAnsi="Calibri" w:cs="Times New Roman"/>
                <w:color w:val="000000"/>
              </w:rPr>
              <w:t>Pharmacy$Turnover</w:t>
            </w:r>
            <w:proofErr w:type="spellEnd"/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 1.5to4.0M, Caters for aged care</w:t>
            </w:r>
          </w:p>
        </w:tc>
      </w:tr>
      <w:tr w:rsidR="003251AB" w:rsidRPr="003251AB" w:rsidTr="003251AB">
        <w:trPr>
          <w:trHeight w:val="77"/>
        </w:trPr>
        <w:tc>
          <w:tcPr>
            <w:tcW w:w="10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c. Predictors: (Constant), </w:t>
            </w:r>
            <w:proofErr w:type="spellStart"/>
            <w:r w:rsidRPr="003251AB">
              <w:rPr>
                <w:rFonts w:ascii="Calibri" w:eastAsia="Times New Roman" w:hAnsi="Calibri" w:cs="Times New Roman"/>
                <w:color w:val="000000"/>
              </w:rPr>
              <w:t>Pharmacy$Turnover</w:t>
            </w:r>
            <w:proofErr w:type="spellEnd"/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 1.5to4.0M, Caters for aged care, Participates in pharmacy trials</w:t>
            </w:r>
          </w:p>
        </w:tc>
      </w:tr>
      <w:tr w:rsidR="003251AB" w:rsidRPr="003251AB" w:rsidTr="003251AB">
        <w:trPr>
          <w:trHeight w:val="351"/>
        </w:trPr>
        <w:tc>
          <w:tcPr>
            <w:tcW w:w="10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d. Predictors: (Constant), </w:t>
            </w:r>
            <w:proofErr w:type="spellStart"/>
            <w:r w:rsidRPr="003251AB">
              <w:rPr>
                <w:rFonts w:ascii="Calibri" w:eastAsia="Times New Roman" w:hAnsi="Calibri" w:cs="Times New Roman"/>
                <w:color w:val="000000"/>
              </w:rPr>
              <w:t>Pharmacy$Turnover</w:t>
            </w:r>
            <w:proofErr w:type="spellEnd"/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 1.5to4.0M, Caters for aged care, Participates in pharmacy trials, Location in a medical centre</w:t>
            </w:r>
          </w:p>
        </w:tc>
      </w:tr>
      <w:tr w:rsidR="003251AB" w:rsidRPr="003251AB" w:rsidTr="003251AB">
        <w:trPr>
          <w:trHeight w:val="529"/>
        </w:trPr>
        <w:tc>
          <w:tcPr>
            <w:tcW w:w="10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e. Predictors: (Constant), </w:t>
            </w:r>
            <w:proofErr w:type="spellStart"/>
            <w:r w:rsidRPr="003251AB">
              <w:rPr>
                <w:rFonts w:ascii="Calibri" w:eastAsia="Times New Roman" w:hAnsi="Calibri" w:cs="Times New Roman"/>
                <w:color w:val="000000"/>
              </w:rPr>
              <w:t>Pharmacy$Turnover</w:t>
            </w:r>
            <w:proofErr w:type="spellEnd"/>
            <w:r w:rsidRPr="003251AB">
              <w:rPr>
                <w:rFonts w:ascii="Calibri" w:eastAsia="Times New Roman" w:hAnsi="Calibri" w:cs="Times New Roman"/>
                <w:color w:val="000000"/>
              </w:rPr>
              <w:t xml:space="preserve"> 1.5to4.0M, Caters for aged care, Participates in pharmacy trials, Location in a medical centre, High Pharmacist Workload</w:t>
            </w:r>
          </w:p>
        </w:tc>
      </w:tr>
      <w:tr w:rsidR="003251AB" w:rsidRPr="003251AB" w:rsidTr="003251AB">
        <w:trPr>
          <w:trHeight w:val="111"/>
        </w:trPr>
        <w:tc>
          <w:tcPr>
            <w:tcW w:w="10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3251AB" w:rsidRDefault="003251AB" w:rsidP="003251AB">
            <w:pPr>
              <w:keepNext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251AB">
              <w:rPr>
                <w:rFonts w:ascii="Calibri" w:eastAsia="Times New Roman" w:hAnsi="Calibri" w:cs="Times New Roman"/>
                <w:color w:val="000000"/>
              </w:rPr>
              <w:t>f. Dependent Variable: Log CI Rate</w:t>
            </w:r>
          </w:p>
        </w:tc>
      </w:tr>
    </w:tbl>
    <w:p w:rsidR="003251AB" w:rsidRDefault="003251AB" w:rsidP="003251AB">
      <w:pPr>
        <w:pStyle w:val="Caption"/>
        <w:jc w:val="left"/>
        <w:rPr>
          <w:lang w:eastAsia="en-US" w:bidi="en-US"/>
        </w:rPr>
      </w:pPr>
      <w:r>
        <w:t xml:space="preserve">Table </w:t>
      </w:r>
      <w:r w:rsidR="001436F9">
        <w:fldChar w:fldCharType="begin"/>
      </w:r>
      <w:r w:rsidR="001436F9">
        <w:instrText xml:space="preserve"> SEQ Table \* ARABIC </w:instrText>
      </w:r>
      <w:r w:rsidR="001436F9">
        <w:fldChar w:fldCharType="separate"/>
      </w:r>
      <w:r w:rsidR="005E3E47">
        <w:rPr>
          <w:noProof/>
        </w:rPr>
        <w:t>6</w:t>
      </w:r>
      <w:r w:rsidR="001436F9">
        <w:rPr>
          <w:noProof/>
        </w:rPr>
        <w:fldChar w:fldCharType="end"/>
      </w:r>
      <w:r>
        <w:t>: Stepwise regression model 2</w:t>
      </w: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260"/>
        <w:gridCol w:w="850"/>
        <w:gridCol w:w="851"/>
        <w:gridCol w:w="1417"/>
        <w:gridCol w:w="851"/>
        <w:gridCol w:w="709"/>
        <w:gridCol w:w="850"/>
        <w:gridCol w:w="851"/>
        <w:gridCol w:w="850"/>
        <w:gridCol w:w="851"/>
        <w:gridCol w:w="850"/>
        <w:gridCol w:w="1134"/>
        <w:gridCol w:w="709"/>
      </w:tblGrid>
      <w:tr w:rsidR="003251AB" w:rsidRPr="005E3E47" w:rsidTr="005E3E47">
        <w:trPr>
          <w:trHeight w:val="300"/>
        </w:trPr>
        <w:tc>
          <w:tcPr>
            <w:tcW w:w="14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Coefficients</w:t>
            </w: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3251AB" w:rsidRPr="005E3E47" w:rsidTr="005E3E47">
        <w:trPr>
          <w:trHeight w:val="609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95.0% Confidence Interval for B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Collinearity</w:t>
            </w:r>
            <w:proofErr w:type="spellEnd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Statistics</w:t>
            </w:r>
          </w:p>
        </w:tc>
      </w:tr>
      <w:tr w:rsidR="003251AB" w:rsidRPr="005E3E47" w:rsidTr="005E3E47">
        <w:trPr>
          <w:trHeight w:val="64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Lower Bound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Upper Bound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Zero-order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Partial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Part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Tolerance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VIF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-0.539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-0.628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1.5 to 4.0M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-3.595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-0.339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1.000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1.5 to 4.0M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-3.302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1.016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Caters for aged care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1.016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1.5 to 4.0M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-3.469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1.021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Caters for aged care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1.023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Participates in other pharmacy trials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-0.455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1.011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-0.518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1.5 to 4.0M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-3.508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1.021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Caters for aged care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1.036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Participates in other pharmacy trials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1.012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Location in/near a medical centre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1.013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-2.502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-0.507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Pharmacy$Turnover</w:t>
            </w:r>
            <w:proofErr w:type="spellEnd"/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1.5 to 4.0M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-3.486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1.022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Caters for aged care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-1.869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1.059</w:t>
            </w:r>
          </w:p>
        </w:tc>
      </w:tr>
      <w:tr w:rsidR="003251AB" w:rsidRPr="005E3E47" w:rsidTr="001436F9">
        <w:trPr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Participates in other pharmacy trials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-1.982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1.023</w:t>
            </w:r>
          </w:p>
        </w:tc>
      </w:tr>
      <w:tr w:rsidR="003251AB" w:rsidRPr="005E3E47" w:rsidTr="001436F9">
        <w:trPr>
          <w:cantSplit/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Location in/near a medical centre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1.016</w:t>
            </w:r>
          </w:p>
        </w:tc>
      </w:tr>
      <w:tr w:rsidR="003251AB" w:rsidRPr="005E3E47" w:rsidTr="001436F9">
        <w:trPr>
          <w:cantSplit/>
          <w:trHeight w:val="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High Pharmacist Workload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-1.659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1AB" w:rsidRPr="005E3E47" w:rsidRDefault="003251AB" w:rsidP="003251AB">
            <w:pPr>
              <w:keepNext/>
              <w:keepLines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1.042</w:t>
            </w:r>
          </w:p>
        </w:tc>
      </w:tr>
      <w:tr w:rsidR="003251AB" w:rsidRPr="005E3E47" w:rsidTr="001436F9">
        <w:trPr>
          <w:cantSplit/>
          <w:trHeight w:val="20"/>
        </w:trPr>
        <w:tc>
          <w:tcPr>
            <w:tcW w:w="14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1AB" w:rsidRPr="005E3E47" w:rsidRDefault="003251AB" w:rsidP="003C5C8F">
            <w:pPr>
              <w:keepNext/>
              <w:keepLines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E3E4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a. Dependent Variable: Log CI Rate </w:t>
            </w:r>
          </w:p>
        </w:tc>
      </w:tr>
    </w:tbl>
    <w:p w:rsidR="003517E2" w:rsidRPr="00C3253D" w:rsidRDefault="003C5C8F" w:rsidP="003C5C8F">
      <w:pPr>
        <w:pStyle w:val="Caption"/>
        <w:rPr>
          <w:lang w:eastAsia="en-US" w:bidi="en-US"/>
        </w:rPr>
      </w:pPr>
      <w:r>
        <w:t xml:space="preserve">Table </w:t>
      </w:r>
      <w:r w:rsidR="001436F9">
        <w:fldChar w:fldCharType="begin"/>
      </w:r>
      <w:r w:rsidR="001436F9">
        <w:instrText xml:space="preserve"> SEQ Table \* ARABIC </w:instrText>
      </w:r>
      <w:r w:rsidR="001436F9">
        <w:fldChar w:fldCharType="separate"/>
      </w:r>
      <w:r w:rsidR="005E3E47">
        <w:rPr>
          <w:noProof/>
        </w:rPr>
        <w:t>7</w:t>
      </w:r>
      <w:r w:rsidR="001436F9">
        <w:rPr>
          <w:noProof/>
        </w:rPr>
        <w:fldChar w:fldCharType="end"/>
      </w:r>
      <w:r>
        <w:t>:</w:t>
      </w:r>
      <w:r w:rsidR="003517E2" w:rsidRPr="00C3253D">
        <w:t xml:space="preserve"> Coefficients for regression model</w:t>
      </w:r>
      <w:r>
        <w:t xml:space="preserve"> 2</w:t>
      </w:r>
    </w:p>
    <w:p w:rsidR="001436F9" w:rsidRDefault="001436F9">
      <w:pPr>
        <w:spacing w:line="276" w:lineRule="auto"/>
        <w:rPr>
          <w:rFonts w:eastAsiaTheme="majorEastAsia" w:cstheme="minorHAnsi"/>
          <w:b/>
          <w:bCs/>
          <w:color w:val="000000" w:themeColor="text1"/>
          <w:sz w:val="24"/>
          <w:szCs w:val="24"/>
          <w:lang w:eastAsia="en-US" w:bidi="en-US"/>
        </w:rPr>
      </w:pPr>
      <w:r>
        <w:rPr>
          <w:lang w:eastAsia="en-US" w:bidi="en-US"/>
        </w:rPr>
        <w:br w:type="page"/>
      </w:r>
    </w:p>
    <w:p w:rsidR="00A00355" w:rsidRDefault="00A00355" w:rsidP="00A00355">
      <w:pPr>
        <w:pStyle w:val="Heading1"/>
        <w:rPr>
          <w:lang w:eastAsia="en-US" w:bidi="en-US"/>
        </w:rPr>
      </w:pPr>
      <w:bookmarkStart w:id="2" w:name="_GoBack"/>
      <w:bookmarkEnd w:id="2"/>
      <w:r>
        <w:rPr>
          <w:lang w:eastAsia="en-US" w:bidi="en-US"/>
        </w:rPr>
        <w:lastRenderedPageBreak/>
        <w:t>Model 3 (tables)</w:t>
      </w:r>
    </w:p>
    <w:tbl>
      <w:tblPr>
        <w:tblW w:w="6752" w:type="dxa"/>
        <w:tblInd w:w="93" w:type="dxa"/>
        <w:tblLook w:val="04A0" w:firstRow="1" w:lastRow="0" w:firstColumn="1" w:lastColumn="0" w:noHBand="0" w:noVBand="1"/>
      </w:tblPr>
      <w:tblGrid>
        <w:gridCol w:w="1755"/>
        <w:gridCol w:w="992"/>
        <w:gridCol w:w="918"/>
        <w:gridCol w:w="1092"/>
        <w:gridCol w:w="992"/>
        <w:gridCol w:w="1003"/>
      </w:tblGrid>
      <w:tr w:rsidR="00ED1705" w:rsidRPr="00ED1705" w:rsidTr="00704AEE">
        <w:trPr>
          <w:cantSplit/>
          <w:trHeight w:val="345"/>
        </w:trPr>
        <w:tc>
          <w:tcPr>
            <w:tcW w:w="6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proofErr w:type="spellStart"/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>Casewise</w:t>
            </w:r>
            <w:proofErr w:type="spellEnd"/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 xml:space="preserve"> </w:t>
            </w:r>
            <w:proofErr w:type="spellStart"/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>Diagnostics</w:t>
            </w:r>
            <w:r w:rsidRPr="00ED1705">
              <w:rPr>
                <w:rFonts w:ascii="Calibri" w:eastAsia="Times New Roman" w:hAnsi="Calibri" w:cs="Arial"/>
                <w:b/>
                <w:bCs/>
                <w:color w:val="000000"/>
                <w:vertAlign w:val="superscript"/>
              </w:rPr>
              <w:t>a</w:t>
            </w:r>
            <w:proofErr w:type="spellEnd"/>
          </w:p>
        </w:tc>
      </w:tr>
      <w:tr w:rsidR="00ED1705" w:rsidRPr="00ED1705" w:rsidTr="00ED1705">
        <w:trPr>
          <w:cantSplit/>
          <w:trHeight w:val="675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>Case Number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>Std. Residual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>Log CI Rate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>Predicted Value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D1705">
              <w:rPr>
                <w:rFonts w:ascii="Calibri" w:eastAsia="Times New Roman" w:hAnsi="Calibri" w:cs="Arial"/>
                <w:b/>
                <w:bCs/>
                <w:color w:val="000000"/>
              </w:rPr>
              <w:t>Residual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</w:rPr>
              <w:t>Cook’s Distance</w:t>
            </w:r>
          </w:p>
        </w:tc>
      </w:tr>
      <w:tr w:rsidR="00ED1705" w:rsidRPr="00ED1705" w:rsidTr="00ED1705">
        <w:trPr>
          <w:trHeight w:val="223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D1705" w:rsidRPr="00ED1705" w:rsidRDefault="00ED1705" w:rsidP="00ED17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D1705">
              <w:rPr>
                <w:rFonts w:ascii="Calibri" w:eastAsia="Times New Roman" w:hAnsi="Calibri" w:cs="Arial"/>
                <w:color w:val="000000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05" w:rsidRPr="00ED1705" w:rsidRDefault="00ED1705" w:rsidP="00ED17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D1705">
              <w:rPr>
                <w:rFonts w:ascii="Calibri" w:eastAsia="Times New Roman" w:hAnsi="Calibri" w:cs="Arial"/>
                <w:color w:val="000000"/>
              </w:rPr>
              <w:t>-3.336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05" w:rsidRPr="00ED1705" w:rsidRDefault="00ED1705" w:rsidP="00ED17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D1705">
              <w:rPr>
                <w:rFonts w:ascii="Calibri" w:eastAsia="Times New Roman" w:hAnsi="Calibri" w:cs="Arial"/>
                <w:color w:val="000000"/>
              </w:rPr>
              <w:t>-2.000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05" w:rsidRPr="00ED1705" w:rsidRDefault="00ED1705" w:rsidP="00ED17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D1705">
              <w:rPr>
                <w:rFonts w:ascii="Calibri" w:eastAsia="Times New Roman" w:hAnsi="Calibri" w:cs="Arial"/>
                <w:color w:val="000000"/>
              </w:rPr>
              <w:t>-0.661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05" w:rsidRPr="00ED1705" w:rsidRDefault="00ED1705" w:rsidP="00ED17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D1705">
              <w:rPr>
                <w:rFonts w:ascii="Calibri" w:eastAsia="Times New Roman" w:hAnsi="Calibri" w:cs="Arial"/>
                <w:color w:val="000000"/>
              </w:rPr>
              <w:t>-1.339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1705" w:rsidRPr="00ED1705" w:rsidRDefault="00ED1705" w:rsidP="00ED1705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0.045</w:t>
            </w:r>
          </w:p>
        </w:tc>
      </w:tr>
      <w:tr w:rsidR="00ED1705" w:rsidRPr="00ED1705" w:rsidTr="00ED1705">
        <w:trPr>
          <w:cantSplit/>
          <w:trHeight w:val="345"/>
        </w:trPr>
        <w:tc>
          <w:tcPr>
            <w:tcW w:w="5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05" w:rsidRPr="00ED1705" w:rsidRDefault="00ED1705" w:rsidP="00ED17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D1705">
              <w:rPr>
                <w:rFonts w:ascii="Calibri" w:eastAsia="Times New Roman" w:hAnsi="Calibri" w:cs="Arial"/>
                <w:color w:val="000000"/>
              </w:rPr>
              <w:t xml:space="preserve">a. Dependent Variable: Log CI Rate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1705" w:rsidRPr="00ED1705" w:rsidRDefault="00ED1705" w:rsidP="00ED1705">
            <w:pPr>
              <w:keepNext/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</w:tbl>
    <w:p w:rsidR="00A00355" w:rsidRPr="00C3253D" w:rsidRDefault="00ED1705" w:rsidP="0081758E">
      <w:pPr>
        <w:pStyle w:val="Caption"/>
        <w:jc w:val="left"/>
      </w:pPr>
      <w:r>
        <w:t xml:space="preserve">Table </w:t>
      </w:r>
      <w:r w:rsidR="001436F9">
        <w:fldChar w:fldCharType="begin"/>
      </w:r>
      <w:r w:rsidR="001436F9">
        <w:instrText xml:space="preserve"> SEQ Table \* ARABIC </w:instrText>
      </w:r>
      <w:r w:rsidR="001436F9">
        <w:fldChar w:fldCharType="separate"/>
      </w:r>
      <w:r w:rsidR="005E3E47">
        <w:rPr>
          <w:noProof/>
        </w:rPr>
        <w:t>8</w:t>
      </w:r>
      <w:r w:rsidR="001436F9">
        <w:rPr>
          <w:noProof/>
        </w:rPr>
        <w:fldChar w:fldCharType="end"/>
      </w:r>
      <w:r>
        <w:t>:</w:t>
      </w:r>
      <w:r w:rsidR="00A00355" w:rsidRPr="00C3253D">
        <w:t xml:space="preserve"> Outlying case for model 3</w:t>
      </w:r>
    </w:p>
    <w:p w:rsidR="00ED1705" w:rsidRDefault="00ED1705" w:rsidP="00ED1705">
      <w:pPr>
        <w:keepNext/>
      </w:pPr>
      <w:r w:rsidRPr="00ED1705">
        <w:rPr>
          <w:noProof/>
        </w:rPr>
        <w:lastRenderedPageBreak/>
        <w:drawing>
          <wp:inline distT="0" distB="0" distL="0" distR="0">
            <wp:extent cx="4191000" cy="32670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566" t="1681" b="2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355" w:rsidRDefault="00ED1705" w:rsidP="0081758E">
      <w:pPr>
        <w:pStyle w:val="Caption"/>
        <w:jc w:val="left"/>
      </w:pPr>
      <w:r>
        <w:t xml:space="preserve">Figure </w:t>
      </w:r>
      <w:r w:rsidR="001436F9">
        <w:fldChar w:fldCharType="begin"/>
      </w:r>
      <w:r w:rsidR="001436F9">
        <w:instrText xml:space="preserve"> SEQ Figure \* ARABIC </w:instrText>
      </w:r>
      <w:r w:rsidR="001436F9">
        <w:fldChar w:fldCharType="separate"/>
      </w:r>
      <w:r w:rsidR="005E3E47">
        <w:rPr>
          <w:noProof/>
        </w:rPr>
        <w:t>2</w:t>
      </w:r>
      <w:r w:rsidR="001436F9">
        <w:rPr>
          <w:noProof/>
        </w:rPr>
        <w:fldChar w:fldCharType="end"/>
      </w:r>
      <w:r>
        <w:t>:</w:t>
      </w:r>
      <w:r w:rsidR="00A00355" w:rsidRPr="00C3253D">
        <w:t xml:space="preserve"> Residuals plot for model 3</w:t>
      </w:r>
    </w:p>
    <w:p w:rsidR="006952D1" w:rsidRDefault="006952D1" w:rsidP="006952D1">
      <w:pPr>
        <w:keepNext/>
      </w:pPr>
      <w:r>
        <w:rPr>
          <w:noProof/>
        </w:rPr>
        <w:lastRenderedPageBreak/>
        <w:drawing>
          <wp:inline distT="0" distB="0" distL="0" distR="0">
            <wp:extent cx="4352925" cy="348094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48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2D1" w:rsidRPr="006952D1" w:rsidRDefault="006952D1" w:rsidP="006952D1">
      <w:pPr>
        <w:pStyle w:val="Caption"/>
        <w:jc w:val="left"/>
      </w:pPr>
      <w:r>
        <w:t xml:space="preserve">Figure </w:t>
      </w:r>
      <w:r w:rsidR="001436F9">
        <w:fldChar w:fldCharType="begin"/>
      </w:r>
      <w:r w:rsidR="001436F9">
        <w:instrText xml:space="preserve"> SEQ Figure \* ARABIC </w:instrText>
      </w:r>
      <w:r w:rsidR="001436F9">
        <w:fldChar w:fldCharType="separate"/>
      </w:r>
      <w:r w:rsidR="005E3E47">
        <w:rPr>
          <w:noProof/>
        </w:rPr>
        <w:t>3</w:t>
      </w:r>
      <w:r w:rsidR="001436F9">
        <w:rPr>
          <w:noProof/>
        </w:rPr>
        <w:fldChar w:fldCharType="end"/>
      </w:r>
      <w:r>
        <w:t>: Residuals plot for prescription volume model</w:t>
      </w:r>
    </w:p>
    <w:p w:rsidR="003517E2" w:rsidRPr="003517E2" w:rsidRDefault="003517E2" w:rsidP="003517E2"/>
    <w:sectPr w:rsidR="003517E2" w:rsidRPr="003517E2" w:rsidSect="001436F9">
      <w:pgSz w:w="16838" w:h="11906" w:orient="landscape"/>
      <w:pgMar w:top="2552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46B0B"/>
    <w:multiLevelType w:val="hybridMultilevel"/>
    <w:tmpl w:val="3C7E01CE"/>
    <w:lvl w:ilvl="0" w:tplc="A3C69222">
      <w:start w:val="1"/>
      <w:numFmt w:val="bullet"/>
      <w:pStyle w:val="ListParagraph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3E310EAB"/>
    <w:multiLevelType w:val="hybridMultilevel"/>
    <w:tmpl w:val="45345706"/>
    <w:lvl w:ilvl="0" w:tplc="D4D239C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AA70355C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9CDA06DE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74CEDA0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B7408B4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C10B54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A8E004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ED097AA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D36423D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66714F41"/>
    <w:multiLevelType w:val="hybridMultilevel"/>
    <w:tmpl w:val="64B26A20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399"/>
    <w:rsid w:val="00095D63"/>
    <w:rsid w:val="000A1215"/>
    <w:rsid w:val="000D7AA3"/>
    <w:rsid w:val="001436F9"/>
    <w:rsid w:val="00223607"/>
    <w:rsid w:val="002A3399"/>
    <w:rsid w:val="003251AB"/>
    <w:rsid w:val="003451F6"/>
    <w:rsid w:val="003517E2"/>
    <w:rsid w:val="003C5C8F"/>
    <w:rsid w:val="00457CBD"/>
    <w:rsid w:val="00472004"/>
    <w:rsid w:val="004C6399"/>
    <w:rsid w:val="0050483F"/>
    <w:rsid w:val="005E3E47"/>
    <w:rsid w:val="006170A9"/>
    <w:rsid w:val="00683EFD"/>
    <w:rsid w:val="006952D1"/>
    <w:rsid w:val="00704AEE"/>
    <w:rsid w:val="00786CAB"/>
    <w:rsid w:val="007D44D0"/>
    <w:rsid w:val="007E7970"/>
    <w:rsid w:val="0081590A"/>
    <w:rsid w:val="0081758E"/>
    <w:rsid w:val="00887574"/>
    <w:rsid w:val="008B6910"/>
    <w:rsid w:val="008D49D8"/>
    <w:rsid w:val="009432CE"/>
    <w:rsid w:val="009657C5"/>
    <w:rsid w:val="009767A2"/>
    <w:rsid w:val="00A00355"/>
    <w:rsid w:val="00B57D99"/>
    <w:rsid w:val="00B96236"/>
    <w:rsid w:val="00C37C47"/>
    <w:rsid w:val="00C62333"/>
    <w:rsid w:val="00CB6D3F"/>
    <w:rsid w:val="00CD3ABA"/>
    <w:rsid w:val="00CE67A3"/>
    <w:rsid w:val="00DC1481"/>
    <w:rsid w:val="00E57B4B"/>
    <w:rsid w:val="00ED1705"/>
    <w:rsid w:val="00ED7CCE"/>
    <w:rsid w:val="00FA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CBD"/>
    <w:pPr>
      <w:spacing w:line="360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7CBD"/>
    <w:pPr>
      <w:keepNext/>
      <w:keepLines/>
      <w:spacing w:before="240" w:after="0"/>
      <w:outlineLvl w:val="0"/>
    </w:pPr>
    <w:rPr>
      <w:rFonts w:eastAsiaTheme="majorEastAsia" w:cstheme="minorHAnsi"/>
      <w:b/>
      <w:bCs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link w:val="TablecontentsChar"/>
    <w:qFormat/>
    <w:rsid w:val="00457CBD"/>
    <w:pPr>
      <w:keepNext/>
      <w:keepLines/>
      <w:spacing w:after="0" w:line="276" w:lineRule="auto"/>
      <w:jc w:val="right"/>
    </w:pPr>
    <w:rPr>
      <w:rFonts w:ascii="Calibri" w:eastAsia="Times New Roman" w:hAnsi="Calibri" w:cs="Times New Roman"/>
      <w:color w:val="000000"/>
    </w:rPr>
  </w:style>
  <w:style w:type="character" w:customStyle="1" w:styleId="TablecontentsChar">
    <w:name w:val="Table contents Char"/>
    <w:basedOn w:val="DefaultParagraphFont"/>
    <w:link w:val="Tablecontents"/>
    <w:rsid w:val="00457CBD"/>
    <w:rPr>
      <w:rFonts w:ascii="Calibri" w:eastAsia="Times New Roman" w:hAnsi="Calibri" w:cs="Times New Roman"/>
      <w:color w:val="000000"/>
      <w:lang w:eastAsia="en-AU"/>
    </w:rPr>
  </w:style>
  <w:style w:type="paragraph" w:customStyle="1" w:styleId="Tablecolumnheadings">
    <w:name w:val="Table column headings"/>
    <w:basedOn w:val="Tablecontents"/>
    <w:link w:val="TablecolumnheadingsChar"/>
    <w:qFormat/>
    <w:rsid w:val="00457CBD"/>
    <w:pPr>
      <w:jc w:val="center"/>
    </w:pPr>
    <w:rPr>
      <w:b/>
    </w:rPr>
  </w:style>
  <w:style w:type="character" w:customStyle="1" w:styleId="TablecolumnheadingsChar">
    <w:name w:val="Table column headings Char"/>
    <w:basedOn w:val="TablecontentsChar"/>
    <w:link w:val="Tablecolumnheadings"/>
    <w:rsid w:val="00457CBD"/>
    <w:rPr>
      <w:rFonts w:ascii="Calibri" w:eastAsia="Times New Roman" w:hAnsi="Calibri" w:cs="Times New Roman"/>
      <w:b/>
      <w:color w:val="000000"/>
      <w:lang w:eastAsia="en-AU"/>
    </w:rPr>
  </w:style>
  <w:style w:type="paragraph" w:customStyle="1" w:styleId="Tablerowheadings2">
    <w:name w:val="Table row headings 2"/>
    <w:basedOn w:val="Tablecontents"/>
    <w:link w:val="Tablerowheadings2Char"/>
    <w:qFormat/>
    <w:rsid w:val="00457CBD"/>
    <w:pPr>
      <w:jc w:val="left"/>
    </w:pPr>
    <w:rPr>
      <w:b/>
      <w:lang w:eastAsia="en-US"/>
    </w:rPr>
  </w:style>
  <w:style w:type="character" w:customStyle="1" w:styleId="Tablerowheadings2Char">
    <w:name w:val="Table row headings 2 Char"/>
    <w:basedOn w:val="TablecontentsChar"/>
    <w:link w:val="Tablerowheadings2"/>
    <w:rsid w:val="00457CBD"/>
    <w:rPr>
      <w:rFonts w:ascii="Calibri" w:eastAsia="Times New Roman" w:hAnsi="Calibri" w:cs="Times New Roman"/>
      <w:b/>
      <w:color w:val="000000"/>
      <w:lang w:eastAsia="en-AU"/>
    </w:rPr>
  </w:style>
  <w:style w:type="paragraph" w:customStyle="1" w:styleId="Tabletotalbox">
    <w:name w:val="Table total box"/>
    <w:basedOn w:val="Normal"/>
    <w:link w:val="TabletotalboxChar"/>
    <w:qFormat/>
    <w:rsid w:val="00457CBD"/>
    <w:pPr>
      <w:keepNext/>
      <w:keepLines/>
      <w:spacing w:after="0" w:line="276" w:lineRule="auto"/>
      <w:jc w:val="center"/>
    </w:pPr>
    <w:rPr>
      <w:rFonts w:ascii="Calibri" w:eastAsia="Times New Roman" w:hAnsi="Calibri" w:cs="Times New Roman"/>
      <w:b/>
      <w:color w:val="000000"/>
      <w:lang w:eastAsia="en-US"/>
    </w:rPr>
  </w:style>
  <w:style w:type="character" w:customStyle="1" w:styleId="TabletotalboxChar">
    <w:name w:val="Table total box Char"/>
    <w:basedOn w:val="DefaultParagraphFont"/>
    <w:link w:val="Tabletotalbox"/>
    <w:rsid w:val="00457CBD"/>
    <w:rPr>
      <w:rFonts w:ascii="Calibri" w:eastAsia="Times New Roman" w:hAnsi="Calibri" w:cs="Times New Roman"/>
      <w:b/>
      <w:color w:val="000000"/>
    </w:rPr>
  </w:style>
  <w:style w:type="paragraph" w:styleId="Caption">
    <w:name w:val="caption"/>
    <w:aliases w:val="Caption Char"/>
    <w:basedOn w:val="Normal"/>
    <w:next w:val="Normal"/>
    <w:link w:val="CaptionChar1"/>
    <w:uiPriority w:val="35"/>
    <w:unhideWhenUsed/>
    <w:qFormat/>
    <w:rsid w:val="00457CBD"/>
    <w:pPr>
      <w:spacing w:line="240" w:lineRule="auto"/>
      <w:jc w:val="center"/>
    </w:pPr>
    <w:rPr>
      <w:rFonts w:cstheme="minorHAnsi"/>
      <w:b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457CBD"/>
    <w:rPr>
      <w:rFonts w:eastAsiaTheme="majorEastAsia" w:cstheme="minorHAnsi"/>
      <w:b/>
      <w:bCs/>
      <w:color w:val="000000" w:themeColor="text1"/>
      <w:sz w:val="24"/>
      <w:szCs w:val="24"/>
      <w:lang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457CBD"/>
    <w:pPr>
      <w:numPr>
        <w:numId w:val="2"/>
      </w:numPr>
      <w:spacing w:after="120"/>
      <w:contextualSpacing/>
    </w:pPr>
    <w:rPr>
      <w:lang w:val="en-US" w:eastAsia="en-US"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57CBD"/>
    <w:rPr>
      <w:rFonts w:eastAsiaTheme="minorEastAsia"/>
      <w:lang w:val="en-US" w:bidi="en-US"/>
    </w:rPr>
  </w:style>
  <w:style w:type="character" w:customStyle="1" w:styleId="CaptionChar1">
    <w:name w:val="Caption Char1"/>
    <w:aliases w:val="Caption Char Char"/>
    <w:basedOn w:val="DefaultParagraphFont"/>
    <w:link w:val="Caption"/>
    <w:uiPriority w:val="35"/>
    <w:rsid w:val="003517E2"/>
    <w:rPr>
      <w:rFonts w:eastAsiaTheme="minorEastAsia" w:cstheme="minorHAnsi"/>
      <w:bCs/>
      <w:color w:val="000000" w:themeColor="text1"/>
      <w:lang w:eastAsia="en-AU"/>
    </w:rPr>
  </w:style>
  <w:style w:type="paragraph" w:customStyle="1" w:styleId="Tablerowheading1">
    <w:name w:val="Table row heading 1"/>
    <w:basedOn w:val="Tablerowheadings2"/>
    <w:link w:val="Tablerowheading1Char"/>
    <w:qFormat/>
    <w:rsid w:val="003517E2"/>
    <w:pPr>
      <w:jc w:val="center"/>
    </w:pPr>
  </w:style>
  <w:style w:type="character" w:customStyle="1" w:styleId="Tablerowheading1Char">
    <w:name w:val="Table row heading 1 Char"/>
    <w:basedOn w:val="Tablerowheadings2Char"/>
    <w:link w:val="Tablerowheading1"/>
    <w:rsid w:val="003517E2"/>
    <w:rPr>
      <w:rFonts w:ascii="Calibri" w:eastAsia="Times New Roman" w:hAnsi="Calibri" w:cs="Times New Roman"/>
      <w:b/>
      <w:color w:val="00000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7E2"/>
    <w:rPr>
      <w:rFonts w:ascii="Tahoma" w:eastAsiaTheme="minorEastAsia" w:hAnsi="Tahoma" w:cs="Tahoma"/>
      <w:sz w:val="16"/>
      <w:szCs w:val="1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83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3E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3EFD"/>
    <w:rPr>
      <w:rFonts w:eastAsiaTheme="minorEastAsia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EFD"/>
    <w:rPr>
      <w:rFonts w:eastAsiaTheme="minorEastAsia"/>
      <w:b/>
      <w:bCs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13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Mackenzie Williams</cp:lastModifiedBy>
  <cp:revision>11</cp:revision>
  <dcterms:created xsi:type="dcterms:W3CDTF">2011-12-06T07:42:00Z</dcterms:created>
  <dcterms:modified xsi:type="dcterms:W3CDTF">2012-02-13T04:32:00Z</dcterms:modified>
</cp:coreProperties>
</file>