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BD" w:rsidRDefault="00EA1814" w:rsidP="00457CBD">
      <w:pPr>
        <w:pStyle w:val="Heading1"/>
      </w:pPr>
      <w:r>
        <w:t>Logistic regression for pharmacist intervention rate</w:t>
      </w:r>
      <w:r w:rsidR="00457CBD" w:rsidRPr="00457CBD">
        <w:t xml:space="preserve"> </w:t>
      </w:r>
    </w:p>
    <w:p w:rsidR="00EA1814" w:rsidRDefault="00EA1814" w:rsidP="00EA1814">
      <w:pPr>
        <w:rPr>
          <w:rFonts w:cstheme="minorHAnsi"/>
        </w:rPr>
      </w:pPr>
      <w:r w:rsidRPr="00F65FA8">
        <w:rPr>
          <w:rFonts w:cstheme="minorHAnsi"/>
        </w:rPr>
        <w:t>From the database, all pharmacists have a known CI rate</w:t>
      </w:r>
      <w:r>
        <w:rPr>
          <w:rFonts w:cstheme="minorHAnsi"/>
        </w:rPr>
        <w:t xml:space="preserve"> (including rates of zero)</w:t>
      </w:r>
      <w:r w:rsidRPr="00F65FA8">
        <w:rPr>
          <w:rFonts w:cstheme="minorHAnsi"/>
        </w:rPr>
        <w:t xml:space="preserve">, known training level (as </w:t>
      </w:r>
      <w:r>
        <w:rPr>
          <w:rFonts w:cstheme="minorHAnsi"/>
        </w:rPr>
        <w:t>participation</w:t>
      </w:r>
      <w:r w:rsidRPr="00F65FA8">
        <w:rPr>
          <w:rFonts w:cstheme="minorHAnsi"/>
        </w:rPr>
        <w:t xml:space="preserve"> was recorded) and known ‘additional qualifications’ (as they were coded as ‘none’ if unknown).  One pharmacist </w:t>
      </w:r>
      <w:r>
        <w:rPr>
          <w:rFonts w:cstheme="minorHAnsi"/>
        </w:rPr>
        <w:t>did</w:t>
      </w:r>
      <w:r w:rsidRPr="00F65FA8">
        <w:rPr>
          <w:rFonts w:cstheme="minorHAnsi"/>
        </w:rPr>
        <w:t xml:space="preserve"> not have a workload recorded as the pharmacy did not receive a site </w:t>
      </w:r>
      <w:proofErr w:type="gramStart"/>
      <w:r w:rsidRPr="00F65FA8">
        <w:rPr>
          <w:rFonts w:cstheme="minorHAnsi"/>
        </w:rPr>
        <w:t>visit,</w:t>
      </w:r>
      <w:proofErr w:type="gramEnd"/>
      <w:r w:rsidRPr="00F65FA8">
        <w:rPr>
          <w:rFonts w:cstheme="minorHAnsi"/>
        </w:rPr>
        <w:t xml:space="preserve"> therefore the number of full-time equivalent pharmacists was not recorded.  The other missing values are due to</w:t>
      </w:r>
      <w:r>
        <w:rPr>
          <w:rFonts w:cstheme="minorHAnsi"/>
        </w:rPr>
        <w:t xml:space="preserve"> the pharmacists not completing </w:t>
      </w:r>
      <w:r w:rsidRPr="00F65FA8">
        <w:rPr>
          <w:rFonts w:cstheme="minorHAnsi"/>
        </w:rPr>
        <w:t>the surveys</w:t>
      </w:r>
      <w:r>
        <w:rPr>
          <w:rFonts w:cstheme="minorHAnsi"/>
        </w:rPr>
        <w:t xml:space="preserve"> (</w:t>
      </w:r>
      <w:r w:rsidR="00C81A1A">
        <w:rPr>
          <w:rFonts w:cstheme="minorHAnsi"/>
        </w:rPr>
        <w:fldChar w:fldCharType="begin"/>
      </w:r>
      <w:r>
        <w:rPr>
          <w:rFonts w:cstheme="minorHAnsi"/>
        </w:rPr>
        <w:instrText xml:space="preserve"> REF _Ref304389478 \h </w:instrText>
      </w:r>
      <w:r w:rsidR="00C81A1A">
        <w:rPr>
          <w:rFonts w:cstheme="minorHAnsi"/>
        </w:rPr>
      </w:r>
      <w:r w:rsidR="00C81A1A">
        <w:rPr>
          <w:rFonts w:cstheme="minorHAnsi"/>
        </w:rPr>
        <w:fldChar w:fldCharType="separate"/>
      </w:r>
      <w:r w:rsidR="00276A67">
        <w:t xml:space="preserve">Table </w:t>
      </w:r>
      <w:r w:rsidR="00276A67">
        <w:rPr>
          <w:noProof/>
        </w:rPr>
        <w:t>1</w:t>
      </w:r>
      <w:r w:rsidR="00C81A1A">
        <w:rPr>
          <w:rFonts w:cstheme="minorHAnsi"/>
        </w:rPr>
        <w:fldChar w:fldCharType="end"/>
      </w:r>
      <w:r>
        <w:rPr>
          <w:rFonts w:cstheme="minorHAnsi"/>
        </w:rPr>
        <w:t>)</w:t>
      </w:r>
      <w:r w:rsidRPr="00F65FA8">
        <w:rPr>
          <w:rFonts w:cstheme="minorHAnsi"/>
        </w:rPr>
        <w:t>.</w:t>
      </w:r>
      <w:r>
        <w:rPr>
          <w:rFonts w:cstheme="minorHAnsi"/>
        </w:rPr>
        <w:t xml:space="preserve">  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5"/>
        <w:gridCol w:w="709"/>
        <w:gridCol w:w="992"/>
        <w:gridCol w:w="1276"/>
        <w:gridCol w:w="1012"/>
        <w:gridCol w:w="1012"/>
        <w:gridCol w:w="1012"/>
        <w:gridCol w:w="1012"/>
      </w:tblGrid>
      <w:tr w:rsidR="00EA1814" w:rsidRPr="002F1142" w:rsidTr="00EA1814">
        <w:trPr>
          <w:cantSplit/>
          <w:tblHeader/>
        </w:trPr>
        <w:tc>
          <w:tcPr>
            <w:tcW w:w="3065" w:type="dxa"/>
            <w:vMerge w:val="restart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N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Mean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Std. Deviation</w:t>
            </w:r>
          </w:p>
        </w:tc>
        <w:tc>
          <w:tcPr>
            <w:tcW w:w="2024" w:type="dxa"/>
            <w:gridSpan w:val="2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Missing</w:t>
            </w:r>
          </w:p>
        </w:tc>
        <w:tc>
          <w:tcPr>
            <w:tcW w:w="2024" w:type="dxa"/>
            <w:gridSpan w:val="2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 xml:space="preserve">No. of </w:t>
            </w:r>
            <w:proofErr w:type="spellStart"/>
            <w:r w:rsidRPr="00097126">
              <w:t>Extremes</w:t>
            </w:r>
            <w:r w:rsidRPr="00097126">
              <w:rPr>
                <w:vertAlign w:val="superscript"/>
              </w:rPr>
              <w:t>a</w:t>
            </w:r>
            <w:proofErr w:type="spellEnd"/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vMerge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101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Count</w:t>
            </w:r>
          </w:p>
        </w:tc>
        <w:tc>
          <w:tcPr>
            <w:tcW w:w="101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Percent</w:t>
            </w:r>
          </w:p>
        </w:tc>
        <w:tc>
          <w:tcPr>
            <w:tcW w:w="101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Low</w:t>
            </w:r>
          </w:p>
        </w:tc>
        <w:tc>
          <w:tcPr>
            <w:tcW w:w="101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High</w:t>
            </w: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>
              <w:t>CI rate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509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0</w:t>
            </w:r>
            <w:r w:rsidRPr="002F1142">
              <w:t>.325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0.491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0</w:t>
            </w:r>
            <w:r w:rsidRPr="002F1142">
              <w:t>.0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43</w:t>
            </w: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>
              <w:t>Adaptability score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445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5.955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1.794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64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12.6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16</w:t>
            </w: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 w:rsidRPr="002F1142">
              <w:t>Confi</w:t>
            </w:r>
            <w:r>
              <w:t>dence score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445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6.29</w:t>
            </w:r>
            <w:r w:rsidRPr="002F1142"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2.31</w:t>
            </w:r>
            <w:r>
              <w:t>1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64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12.6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38</w:t>
            </w: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>
              <w:t>Clinical knowledge score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419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53.12</w:t>
            </w:r>
            <w: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7.425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90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17.7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11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 w:rsidRPr="002F1142">
              <w:t>Av</w:t>
            </w:r>
            <w:r>
              <w:t>erage p</w:t>
            </w:r>
            <w:r w:rsidRPr="002F1142">
              <w:t>h</w:t>
            </w:r>
            <w:r>
              <w:t>armacist w</w:t>
            </w:r>
            <w:r w:rsidRPr="002F1142">
              <w:t>orkload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508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478.037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185.158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0</w:t>
            </w:r>
            <w:r w:rsidRPr="002F1142">
              <w:t>.2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9</w:t>
            </w: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>
              <w:t xml:space="preserve">Additional qualifications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509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0</w:t>
            </w:r>
            <w:r w:rsidRPr="002F1142">
              <w:t>.0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 w:rsidRPr="002F1142">
              <w:t>CPD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446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63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12.4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</w:tr>
      <w:tr w:rsidR="00EA1814" w:rsidRPr="002F1142" w:rsidTr="00EA1814">
        <w:trPr>
          <w:cantSplit/>
          <w:tblHeader/>
        </w:trPr>
        <w:tc>
          <w:tcPr>
            <w:tcW w:w="3065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rowheadings2"/>
            </w:pPr>
            <w:r w:rsidRPr="002F1142">
              <w:t>Training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509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 w:rsidRPr="002F1142">
              <w:t>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  <w:r>
              <w:t>0</w:t>
            </w:r>
            <w:r w:rsidRPr="002F1142">
              <w:t>.0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  <w:tc>
          <w:tcPr>
            <w:tcW w:w="1012" w:type="dxa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</w:pPr>
          </w:p>
        </w:tc>
      </w:tr>
      <w:tr w:rsidR="00EA1814" w:rsidRPr="002F1142" w:rsidTr="00EA1814">
        <w:trPr>
          <w:cantSplit/>
        </w:trPr>
        <w:tc>
          <w:tcPr>
            <w:tcW w:w="10090" w:type="dxa"/>
            <w:gridSpan w:val="8"/>
            <w:shd w:val="clear" w:color="auto" w:fill="FFFFFF"/>
            <w:vAlign w:val="center"/>
          </w:tcPr>
          <w:p w:rsidR="00EA1814" w:rsidRPr="002F1142" w:rsidRDefault="00EA1814" w:rsidP="00EA1814">
            <w:pPr>
              <w:pStyle w:val="Tablecontents"/>
              <w:jc w:val="left"/>
            </w:pPr>
            <w:r w:rsidRPr="00935AE6">
              <w:rPr>
                <w:sz w:val="18"/>
              </w:rPr>
              <w:t>a. Number of cases outside the range (Q1 - 1.5*IQR, Q3 + 1.5*IQR).</w:t>
            </w:r>
          </w:p>
        </w:tc>
      </w:tr>
    </w:tbl>
    <w:p w:rsidR="00EA1814" w:rsidRDefault="00EA1814" w:rsidP="00276A67">
      <w:pPr>
        <w:pStyle w:val="Caption"/>
        <w:jc w:val="left"/>
      </w:pPr>
      <w:bookmarkStart w:id="0" w:name="_Ref304389478"/>
      <w:r>
        <w:t xml:space="preserve">Table </w:t>
      </w:r>
      <w:r w:rsidR="006707BB">
        <w:fldChar w:fldCharType="begin"/>
      </w:r>
      <w:r w:rsidR="006707BB">
        <w:instrText xml:space="preserve"> SEQ Table \* ARABIC </w:instrText>
      </w:r>
      <w:r w:rsidR="006707BB">
        <w:fldChar w:fldCharType="separate"/>
      </w:r>
      <w:r w:rsidR="00276A67">
        <w:rPr>
          <w:noProof/>
        </w:rPr>
        <w:t>1</w:t>
      </w:r>
      <w:r w:rsidR="006707BB">
        <w:rPr>
          <w:noProof/>
        </w:rPr>
        <w:fldChar w:fldCharType="end"/>
      </w:r>
      <w:bookmarkEnd w:id="0"/>
      <w:r>
        <w:t>: Missing value analysis</w:t>
      </w:r>
    </w:p>
    <w:p w:rsidR="00EA1814" w:rsidRDefault="00C81A1A" w:rsidP="00EA1814">
      <w:pPr>
        <w:rPr>
          <w:rFonts w:cstheme="minorHAnsi"/>
        </w:rPr>
      </w:pPr>
      <w:r>
        <w:rPr>
          <w:rFonts w:cstheme="minorHAnsi"/>
        </w:rPr>
        <w:fldChar w:fldCharType="begin"/>
      </w:r>
      <w:r w:rsidR="00EA1814">
        <w:rPr>
          <w:rFonts w:cstheme="minorHAnsi"/>
        </w:rPr>
        <w:instrText xml:space="preserve"> REF _Ref304389536 \h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="00276A67">
        <w:t xml:space="preserve">Table </w:t>
      </w:r>
      <w:r w:rsidR="00276A67">
        <w:rPr>
          <w:noProof/>
        </w:rPr>
        <w:t>2</w:t>
      </w:r>
      <w:r>
        <w:rPr>
          <w:rFonts w:cstheme="minorHAnsi"/>
        </w:rPr>
        <w:fldChar w:fldCharType="end"/>
      </w:r>
      <w:r w:rsidR="00EA1814">
        <w:rPr>
          <w:rFonts w:cstheme="minorHAnsi"/>
        </w:rPr>
        <w:t xml:space="preserve"> s</w:t>
      </w:r>
      <w:r w:rsidR="00EA1814" w:rsidRPr="00C9057A">
        <w:rPr>
          <w:rFonts w:cstheme="minorHAnsi"/>
        </w:rPr>
        <w:t>hows the differences in mean between the ph</w:t>
      </w:r>
      <w:r w:rsidR="00EA1814">
        <w:rPr>
          <w:rFonts w:cstheme="minorHAnsi"/>
        </w:rPr>
        <w:t xml:space="preserve">armacists </w:t>
      </w:r>
      <w:r w:rsidR="00EA1814" w:rsidRPr="00C9057A">
        <w:rPr>
          <w:rFonts w:cstheme="minorHAnsi"/>
        </w:rPr>
        <w:t xml:space="preserve">with the data present and not present.  The mean CI rate </w:t>
      </w:r>
      <w:r w:rsidR="00EA1814">
        <w:rPr>
          <w:rFonts w:cstheme="minorHAnsi"/>
        </w:rPr>
        <w:t>was</w:t>
      </w:r>
      <w:r w:rsidR="00EA1814" w:rsidRPr="00C9057A">
        <w:rPr>
          <w:rFonts w:cstheme="minorHAnsi"/>
        </w:rPr>
        <w:t xml:space="preserve"> much higher in the group </w:t>
      </w:r>
      <w:r w:rsidR="00EA1814">
        <w:rPr>
          <w:rFonts w:cstheme="minorHAnsi"/>
        </w:rPr>
        <w:t xml:space="preserve">where the surveys were answered, indicating that the pharmacists who answered the surveys may have been more motivated.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3"/>
        <w:gridCol w:w="567"/>
        <w:gridCol w:w="851"/>
        <w:gridCol w:w="1134"/>
        <w:gridCol w:w="992"/>
        <w:gridCol w:w="1669"/>
        <w:gridCol w:w="1718"/>
      </w:tblGrid>
      <w:tr w:rsidR="00EA1814" w:rsidRPr="00F65FA8" w:rsidTr="00276A67">
        <w:trPr>
          <w:cantSplit/>
          <w:tblHeader/>
        </w:trPr>
        <w:tc>
          <w:tcPr>
            <w:tcW w:w="2533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df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# Present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# Missing</w:t>
            </w:r>
          </w:p>
        </w:tc>
        <w:tc>
          <w:tcPr>
            <w:tcW w:w="1669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Mean(Present)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Mean(Missing)</w:t>
            </w:r>
          </w:p>
        </w:tc>
      </w:tr>
      <w:tr w:rsidR="00EA1814" w:rsidRPr="00F65FA8" w:rsidTr="00276A67">
        <w:trPr>
          <w:cantSplit/>
          <w:tblHeader/>
        </w:trPr>
        <w:tc>
          <w:tcPr>
            <w:tcW w:w="2533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rowheadings2"/>
            </w:pPr>
            <w:r w:rsidRPr="00F65FA8">
              <w:t>Adaptability score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7.7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256.2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445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64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>
              <w:t>0</w:t>
            </w:r>
            <w:r w:rsidRPr="00F65FA8">
              <w:t>.357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EA1814" w:rsidRDefault="00EA1814" w:rsidP="00EA1814">
            <w:pPr>
              <w:pStyle w:val="Tablecontents"/>
            </w:pPr>
            <w:r>
              <w:t>0.104</w:t>
            </w:r>
          </w:p>
        </w:tc>
      </w:tr>
      <w:tr w:rsidR="00EA1814" w:rsidRPr="00F65FA8" w:rsidTr="00276A67">
        <w:trPr>
          <w:cantSplit/>
          <w:tblHeader/>
        </w:trPr>
        <w:tc>
          <w:tcPr>
            <w:tcW w:w="2533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rowheadings2"/>
            </w:pPr>
            <w:r>
              <w:t>Clinical knowledge score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6.8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326.6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419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90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>
              <w:t>0.367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>
              <w:t>0.132</w:t>
            </w:r>
          </w:p>
        </w:tc>
      </w:tr>
      <w:tr w:rsidR="00EA1814" w:rsidRPr="00F65FA8" w:rsidTr="00276A67">
        <w:trPr>
          <w:cantSplit/>
          <w:tblHeader/>
        </w:trPr>
        <w:tc>
          <w:tcPr>
            <w:tcW w:w="2533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rowheadings2"/>
            </w:pPr>
            <w:r w:rsidRPr="00F65FA8">
              <w:t>CPD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7.8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249.0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446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 w:rsidRPr="00F65FA8">
              <w:t>63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>
              <w:t>0</w:t>
            </w:r>
            <w:r w:rsidRPr="00F65FA8">
              <w:t>.357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EA1814" w:rsidRPr="00F65FA8" w:rsidRDefault="00EA1814" w:rsidP="00EA1814">
            <w:pPr>
              <w:pStyle w:val="Tablecontents"/>
            </w:pPr>
            <w:r>
              <w:t>0.010</w:t>
            </w:r>
          </w:p>
        </w:tc>
      </w:tr>
    </w:tbl>
    <w:p w:rsidR="00EA1814" w:rsidRDefault="00EA1814" w:rsidP="00276A67">
      <w:pPr>
        <w:pStyle w:val="Caption"/>
        <w:jc w:val="left"/>
      </w:pPr>
      <w:bookmarkStart w:id="1" w:name="_Ref304389536"/>
      <w:bookmarkStart w:id="2" w:name="_Ref286757199"/>
      <w:r>
        <w:t xml:space="preserve">Table </w:t>
      </w:r>
      <w:r w:rsidR="006707BB">
        <w:fldChar w:fldCharType="begin"/>
      </w:r>
      <w:r w:rsidR="006707BB">
        <w:instrText xml:space="preserve"> SEQ Table \* ARABIC </w:instrText>
      </w:r>
      <w:r w:rsidR="006707BB">
        <w:fldChar w:fldCharType="separate"/>
      </w:r>
      <w:r w:rsidR="00276A67">
        <w:rPr>
          <w:noProof/>
        </w:rPr>
        <w:t>2</w:t>
      </w:r>
      <w:r w:rsidR="006707BB">
        <w:rPr>
          <w:noProof/>
        </w:rPr>
        <w:fldChar w:fldCharType="end"/>
      </w:r>
      <w:bookmarkEnd w:id="1"/>
      <w:r>
        <w:t>:</w:t>
      </w:r>
      <w:bookmarkEnd w:id="2"/>
      <w:r>
        <w:t xml:space="preserve"> </w:t>
      </w:r>
      <w:r w:rsidRPr="00F65FA8">
        <w:t>Separate</w:t>
      </w:r>
      <w:r>
        <w:t xml:space="preserve"> variance t-tests</w:t>
      </w:r>
    </w:p>
    <w:p w:rsidR="00EA1814" w:rsidRDefault="00C81A1A" w:rsidP="00EA1814">
      <w:pPr>
        <w:rPr>
          <w:rFonts w:cstheme="minorHAnsi"/>
        </w:rPr>
      </w:pPr>
      <w:r>
        <w:rPr>
          <w:rFonts w:cstheme="minorHAnsi"/>
        </w:rPr>
        <w:fldChar w:fldCharType="begin"/>
      </w:r>
      <w:r w:rsidR="00EA1814">
        <w:rPr>
          <w:rFonts w:cstheme="minorHAnsi"/>
        </w:rPr>
        <w:instrText xml:space="preserve"> REF _Ref304389576 \h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="00276A67">
        <w:t xml:space="preserve">Table </w:t>
      </w:r>
      <w:r w:rsidR="00276A67">
        <w:rPr>
          <w:noProof/>
        </w:rPr>
        <w:t>3</w:t>
      </w:r>
      <w:r>
        <w:rPr>
          <w:rFonts w:cstheme="minorHAnsi"/>
        </w:rPr>
        <w:fldChar w:fldCharType="end"/>
      </w:r>
      <w:r w:rsidR="00EA1814">
        <w:rPr>
          <w:rFonts w:cstheme="minorHAnsi"/>
        </w:rPr>
        <w:t xml:space="preserve"> s</w:t>
      </w:r>
      <w:r w:rsidR="00EA1814" w:rsidRPr="00C9057A">
        <w:rPr>
          <w:rFonts w:cstheme="minorHAnsi"/>
        </w:rPr>
        <w:t xml:space="preserve">hows that 416 cases have all data, 24 are missing only the </w:t>
      </w:r>
      <w:r w:rsidR="00EA1814">
        <w:rPr>
          <w:rFonts w:cstheme="minorHAnsi"/>
        </w:rPr>
        <w:t>clinical knowledge score</w:t>
      </w:r>
      <w:r w:rsidR="00EA1814" w:rsidRPr="00C9057A">
        <w:rPr>
          <w:rFonts w:cstheme="minorHAnsi"/>
        </w:rPr>
        <w:t xml:space="preserve"> and 59 are missing all survey data.</w:t>
      </w:r>
      <w:r w:rsidR="00EA1814">
        <w:rPr>
          <w:rFonts w:cstheme="minorHAnsi"/>
        </w:rPr>
        <w:t xml:space="preserve">  As seen previously, the remaining case is missing a figure for the pharmacist workload.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1276"/>
        <w:gridCol w:w="992"/>
        <w:gridCol w:w="1276"/>
        <w:gridCol w:w="708"/>
        <w:gridCol w:w="1417"/>
        <w:gridCol w:w="1275"/>
        <w:gridCol w:w="1276"/>
      </w:tblGrid>
      <w:tr w:rsidR="00EA1814" w:rsidRPr="005A5C80" w:rsidTr="00EA1814">
        <w:trPr>
          <w:cantSplit/>
          <w:tblHeader/>
        </w:trPr>
        <w:tc>
          <w:tcPr>
            <w:tcW w:w="817" w:type="dxa"/>
            <w:vMerge w:val="restart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No. of Cases</w:t>
            </w:r>
          </w:p>
        </w:tc>
        <w:tc>
          <w:tcPr>
            <w:tcW w:w="7653" w:type="dxa"/>
            <w:gridSpan w:val="7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 xml:space="preserve">Missing </w:t>
            </w:r>
            <w:proofErr w:type="spellStart"/>
            <w:r w:rsidRPr="00097126">
              <w:t>Patterns</w:t>
            </w:r>
            <w:r w:rsidRPr="00097126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Complete if ...</w:t>
            </w:r>
            <w:r w:rsidRPr="00097126">
              <w:rPr>
                <w:vertAlign w:val="superscript"/>
              </w:rPr>
              <w:t>b</w:t>
            </w:r>
          </w:p>
        </w:tc>
      </w:tr>
      <w:tr w:rsidR="00EA1814" w:rsidRPr="005A5C80" w:rsidTr="00EA1814">
        <w:trPr>
          <w:cantSplit/>
          <w:tblHeader/>
        </w:trPr>
        <w:tc>
          <w:tcPr>
            <w:tcW w:w="817" w:type="dxa"/>
            <w:vMerge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CI Rate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 xml:space="preserve">Additional </w:t>
            </w:r>
            <w:proofErr w:type="spellStart"/>
            <w:r w:rsidRPr="00097126">
              <w:t>quals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Training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Average pharmacist workload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CPD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Adaptability score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Clinical knowledge score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EA1814" w:rsidRPr="005A5C80" w:rsidTr="00EA1814">
        <w:trPr>
          <w:cantSplit/>
          <w:tblHeader/>
        </w:trPr>
        <w:tc>
          <w:tcPr>
            <w:tcW w:w="817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rowheadings2"/>
            </w:pPr>
            <w:r w:rsidRPr="005A5C80">
              <w:t>416</w:t>
            </w:r>
          </w:p>
        </w:tc>
        <w:tc>
          <w:tcPr>
            <w:tcW w:w="709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992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416</w:t>
            </w:r>
          </w:p>
        </w:tc>
      </w:tr>
      <w:tr w:rsidR="00EA1814" w:rsidRPr="005A5C80" w:rsidTr="00EA1814">
        <w:trPr>
          <w:cantSplit/>
          <w:tblHeader/>
        </w:trPr>
        <w:tc>
          <w:tcPr>
            <w:tcW w:w="817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rowheadings2"/>
            </w:pPr>
            <w:r w:rsidRPr="005A5C80">
              <w:t>24</w:t>
            </w:r>
          </w:p>
        </w:tc>
        <w:tc>
          <w:tcPr>
            <w:tcW w:w="709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992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X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440</w:t>
            </w:r>
          </w:p>
        </w:tc>
      </w:tr>
      <w:tr w:rsidR="00EA1814" w:rsidRPr="005A5C80" w:rsidTr="00EA1814">
        <w:trPr>
          <w:cantSplit/>
          <w:tblHeader/>
        </w:trPr>
        <w:tc>
          <w:tcPr>
            <w:tcW w:w="817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rowheadings2"/>
            </w:pPr>
            <w:r w:rsidRPr="005A5C80">
              <w:t>59</w:t>
            </w:r>
          </w:p>
        </w:tc>
        <w:tc>
          <w:tcPr>
            <w:tcW w:w="709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992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1276" w:type="dxa"/>
            <w:shd w:val="clear" w:color="auto" w:fill="FFFFFF"/>
          </w:tcPr>
          <w:p w:rsidR="00EA1814" w:rsidRPr="005A5C80" w:rsidRDefault="00EA1814" w:rsidP="00EA1814">
            <w:pPr>
              <w:pStyle w:val="Tablecontents"/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X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X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X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1814" w:rsidRPr="005A5C80" w:rsidRDefault="00EA1814" w:rsidP="00EA1814">
            <w:pPr>
              <w:pStyle w:val="Tablecontents"/>
            </w:pPr>
            <w:r w:rsidRPr="005A5C80">
              <w:t>508</w:t>
            </w:r>
          </w:p>
        </w:tc>
      </w:tr>
      <w:tr w:rsidR="00EA1814" w:rsidRPr="005A5C80" w:rsidTr="00EA1814">
        <w:trPr>
          <w:cantSplit/>
          <w:tblHeader/>
        </w:trPr>
        <w:tc>
          <w:tcPr>
            <w:tcW w:w="9746" w:type="dxa"/>
            <w:gridSpan w:val="9"/>
            <w:shd w:val="clear" w:color="auto" w:fill="FFFFFF"/>
            <w:vAlign w:val="center"/>
          </w:tcPr>
          <w:p w:rsidR="00EA1814" w:rsidRPr="00935AE6" w:rsidRDefault="00EA1814" w:rsidP="00EA1814">
            <w:pPr>
              <w:pStyle w:val="Tablecontents"/>
              <w:jc w:val="left"/>
              <w:rPr>
                <w:sz w:val="18"/>
              </w:rPr>
            </w:pPr>
            <w:r w:rsidRPr="00935AE6">
              <w:rPr>
                <w:sz w:val="18"/>
              </w:rPr>
              <w:t>Patterns with less than 1% cases (5 or fewer) are not displayed.</w:t>
            </w:r>
          </w:p>
        </w:tc>
      </w:tr>
      <w:tr w:rsidR="00EA1814" w:rsidRPr="005A5C80" w:rsidTr="00EA1814">
        <w:trPr>
          <w:cantSplit/>
          <w:tblHeader/>
        </w:trPr>
        <w:tc>
          <w:tcPr>
            <w:tcW w:w="9746" w:type="dxa"/>
            <w:gridSpan w:val="9"/>
            <w:shd w:val="clear" w:color="auto" w:fill="FFFFFF"/>
            <w:vAlign w:val="center"/>
          </w:tcPr>
          <w:p w:rsidR="00EA1814" w:rsidRPr="00935AE6" w:rsidRDefault="00EA1814" w:rsidP="00EA1814">
            <w:pPr>
              <w:pStyle w:val="Tablecontents"/>
              <w:jc w:val="left"/>
              <w:rPr>
                <w:sz w:val="18"/>
              </w:rPr>
            </w:pPr>
            <w:r w:rsidRPr="00935AE6">
              <w:rPr>
                <w:sz w:val="18"/>
              </w:rPr>
              <w:t>a. Variables are sorted on missing patterns.</w:t>
            </w:r>
          </w:p>
        </w:tc>
      </w:tr>
      <w:tr w:rsidR="00EA1814" w:rsidRPr="005A5C80" w:rsidTr="00EA1814">
        <w:trPr>
          <w:cantSplit/>
        </w:trPr>
        <w:tc>
          <w:tcPr>
            <w:tcW w:w="9746" w:type="dxa"/>
            <w:gridSpan w:val="9"/>
            <w:shd w:val="clear" w:color="auto" w:fill="FFFFFF"/>
            <w:vAlign w:val="center"/>
          </w:tcPr>
          <w:p w:rsidR="00EA1814" w:rsidRPr="00935AE6" w:rsidRDefault="00EA1814" w:rsidP="00EA1814">
            <w:pPr>
              <w:pStyle w:val="Tablecontents"/>
              <w:jc w:val="left"/>
              <w:rPr>
                <w:sz w:val="18"/>
              </w:rPr>
            </w:pPr>
            <w:r w:rsidRPr="00935AE6">
              <w:rPr>
                <w:sz w:val="18"/>
              </w:rPr>
              <w:t>b. Number of complete cases if variables missing in that pattern (marked with X) are not used.</w:t>
            </w:r>
          </w:p>
        </w:tc>
      </w:tr>
    </w:tbl>
    <w:p w:rsidR="00EA1814" w:rsidRPr="00C9057A" w:rsidRDefault="00EA1814" w:rsidP="00276A67">
      <w:pPr>
        <w:pStyle w:val="Caption"/>
        <w:jc w:val="left"/>
        <w:rPr>
          <w:sz w:val="24"/>
          <w:szCs w:val="24"/>
        </w:rPr>
      </w:pPr>
      <w:bookmarkStart w:id="3" w:name="_Ref304389576"/>
      <w:r>
        <w:t xml:space="preserve">Table </w:t>
      </w:r>
      <w:r w:rsidR="006707BB">
        <w:fldChar w:fldCharType="begin"/>
      </w:r>
      <w:r w:rsidR="006707BB">
        <w:instrText xml:space="preserve"> SEQ Table \* ARABIC </w:instrText>
      </w:r>
      <w:r w:rsidR="006707BB">
        <w:fldChar w:fldCharType="separate"/>
      </w:r>
      <w:r w:rsidR="00276A67">
        <w:rPr>
          <w:noProof/>
        </w:rPr>
        <w:t>3</w:t>
      </w:r>
      <w:r w:rsidR="006707BB">
        <w:rPr>
          <w:noProof/>
        </w:rPr>
        <w:fldChar w:fldCharType="end"/>
      </w:r>
      <w:bookmarkEnd w:id="3"/>
      <w:r>
        <w:t>: Missing data patterns</w:t>
      </w:r>
    </w:p>
    <w:p w:rsidR="00EA1814" w:rsidRDefault="00EA1814" w:rsidP="00EA1814">
      <w:pPr>
        <w:rPr>
          <w:rFonts w:cstheme="minorHAnsi"/>
        </w:rPr>
      </w:pPr>
      <w:r>
        <w:rPr>
          <w:rFonts w:cstheme="minorHAnsi"/>
        </w:rPr>
        <w:t>Ideally, t</w:t>
      </w:r>
      <w:r w:rsidRPr="00C9057A">
        <w:rPr>
          <w:rFonts w:cstheme="minorHAnsi"/>
        </w:rPr>
        <w:t xml:space="preserve">he MCAR test </w:t>
      </w:r>
      <w:r>
        <w:rPr>
          <w:rFonts w:cstheme="minorHAnsi"/>
        </w:rPr>
        <w:t>should</w:t>
      </w:r>
      <w:r w:rsidRPr="00C9057A">
        <w:rPr>
          <w:rFonts w:cstheme="minorHAnsi"/>
        </w:rPr>
        <w:t xml:space="preserve"> be non-significant, as this means the distribution of missing values is unpredictable.  </w:t>
      </w:r>
      <w:r>
        <w:rPr>
          <w:rFonts w:cstheme="minorHAnsi"/>
        </w:rPr>
        <w:t>For this dataset, the MCAR test was approaching s</w:t>
      </w:r>
      <w:r w:rsidRPr="00C9057A">
        <w:rPr>
          <w:rFonts w:cstheme="minorHAnsi"/>
        </w:rPr>
        <w:t>ignifican</w:t>
      </w:r>
      <w:r>
        <w:rPr>
          <w:rFonts w:cstheme="minorHAnsi"/>
        </w:rPr>
        <w:t>ce</w:t>
      </w:r>
      <w:r w:rsidRPr="00C9057A">
        <w:rPr>
          <w:rFonts w:cstheme="minorHAnsi"/>
        </w:rPr>
        <w:t xml:space="preserve"> and </w:t>
      </w:r>
      <w:r>
        <w:rPr>
          <w:rFonts w:cstheme="minorHAnsi"/>
        </w:rPr>
        <w:t>may t</w:t>
      </w:r>
      <w:r w:rsidRPr="00C9057A">
        <w:rPr>
          <w:rFonts w:cstheme="minorHAnsi"/>
        </w:rPr>
        <w:t>herefore</w:t>
      </w:r>
      <w:r>
        <w:rPr>
          <w:rFonts w:cstheme="minorHAnsi"/>
        </w:rPr>
        <w:t xml:space="preserve"> be</w:t>
      </w:r>
      <w:r w:rsidRPr="00C9057A">
        <w:rPr>
          <w:rFonts w:cstheme="minorHAnsi"/>
        </w:rPr>
        <w:t xml:space="preserve"> predictable </w:t>
      </w:r>
      <w:r>
        <w:rPr>
          <w:rFonts w:cstheme="minorHAnsi"/>
        </w:rPr>
        <w:t>(</w:t>
      </w:r>
      <w:r>
        <w:rPr>
          <w:rFonts w:cstheme="minorHAnsi"/>
          <w:i/>
        </w:rPr>
        <w:t>p</w:t>
      </w:r>
      <w:r w:rsidRPr="00C9057A">
        <w:rPr>
          <w:rFonts w:cstheme="minorHAnsi"/>
        </w:rPr>
        <w:t xml:space="preserve"> = 0.0</w:t>
      </w:r>
      <w:r>
        <w:rPr>
          <w:rFonts w:cstheme="minorHAnsi"/>
        </w:rPr>
        <w:t xml:space="preserve">6).  However, this is expected, because the </w:t>
      </w:r>
      <w:proofErr w:type="gramStart"/>
      <w:r>
        <w:rPr>
          <w:rFonts w:cstheme="minorHAnsi"/>
        </w:rPr>
        <w:t>pharmacists</w:t>
      </w:r>
      <w:proofErr w:type="gramEnd"/>
      <w:r>
        <w:rPr>
          <w:rFonts w:cstheme="minorHAnsi"/>
        </w:rPr>
        <w:t xml:space="preserve"> who did not fill out one survey, often did not fill out another survey, resulting in a predictable missing value distribution (</w:t>
      </w:r>
      <w:r w:rsidR="00C81A1A">
        <w:rPr>
          <w:rFonts w:cstheme="minorHAnsi"/>
        </w:rPr>
        <w:fldChar w:fldCharType="begin"/>
      </w:r>
      <w:r>
        <w:rPr>
          <w:rFonts w:cstheme="minorHAnsi"/>
        </w:rPr>
        <w:instrText xml:space="preserve"> REF _Ref304389613 \h </w:instrText>
      </w:r>
      <w:r w:rsidR="00C81A1A">
        <w:rPr>
          <w:rFonts w:cstheme="minorHAnsi"/>
        </w:rPr>
      </w:r>
      <w:r w:rsidR="00C81A1A">
        <w:rPr>
          <w:rFonts w:cstheme="minorHAnsi"/>
        </w:rPr>
        <w:fldChar w:fldCharType="separate"/>
      </w:r>
      <w:r w:rsidR="00276A67">
        <w:t xml:space="preserve">Table </w:t>
      </w:r>
      <w:r w:rsidR="00276A67">
        <w:rPr>
          <w:noProof/>
        </w:rPr>
        <w:t>4</w:t>
      </w:r>
      <w:r w:rsidR="00C81A1A">
        <w:rPr>
          <w:rFonts w:cstheme="minorHAnsi"/>
        </w:rPr>
        <w:fldChar w:fldCharType="end"/>
      </w:r>
      <w:r>
        <w:rPr>
          <w:rFonts w:cstheme="minorHAnsi"/>
        </w:rPr>
        <w:t xml:space="preserve">). </w:t>
      </w:r>
    </w:p>
    <w:p w:rsidR="00EA1814" w:rsidRPr="00EB29F8" w:rsidRDefault="00EA1814" w:rsidP="00EA1814">
      <w:pPr>
        <w:rPr>
          <w:lang w:val="en-US" w:bidi="en-US"/>
        </w:rPr>
      </w:pPr>
    </w:p>
    <w:p w:rsidR="00EA1814" w:rsidRPr="00D01C54" w:rsidRDefault="00EA1814" w:rsidP="00EA18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2"/>
        <w:gridCol w:w="850"/>
        <w:gridCol w:w="1371"/>
        <w:gridCol w:w="1273"/>
        <w:gridCol w:w="1361"/>
      </w:tblGrid>
      <w:tr w:rsidR="00EA1814" w:rsidRPr="00D01C54" w:rsidTr="00276A67">
        <w:trPr>
          <w:cantSplit/>
          <w:tblHeader/>
        </w:trPr>
        <w:tc>
          <w:tcPr>
            <w:tcW w:w="7937" w:type="dxa"/>
            <w:gridSpan w:val="5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 xml:space="preserve">EM </w:t>
            </w:r>
            <w:proofErr w:type="spellStart"/>
            <w:r w:rsidRPr="00097126">
              <w:t>Correlations</w:t>
            </w:r>
            <w:r w:rsidRPr="00097126">
              <w:rPr>
                <w:vertAlign w:val="superscript"/>
              </w:rPr>
              <w:t>a</w:t>
            </w:r>
            <w:proofErr w:type="spellEnd"/>
          </w:p>
        </w:tc>
      </w:tr>
      <w:tr w:rsidR="00EA1814" w:rsidRPr="00D01C54" w:rsidTr="00276A67">
        <w:trPr>
          <w:cantSplit/>
          <w:tblHeader/>
        </w:trPr>
        <w:tc>
          <w:tcPr>
            <w:tcW w:w="3082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CI Rate</w:t>
            </w:r>
          </w:p>
        </w:tc>
        <w:tc>
          <w:tcPr>
            <w:tcW w:w="1371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Adaptability score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Clinical knowledge score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EA1814" w:rsidRPr="00097126" w:rsidRDefault="00EA1814" w:rsidP="00EA1814">
            <w:pPr>
              <w:pStyle w:val="Tablecolumnheadings"/>
            </w:pPr>
            <w:r w:rsidRPr="00097126">
              <w:t>Average pharmacist workload</w:t>
            </w:r>
          </w:p>
        </w:tc>
      </w:tr>
      <w:tr w:rsidR="00EA1814" w:rsidRPr="00D01C54" w:rsidTr="00276A67">
        <w:trPr>
          <w:cantSplit/>
          <w:tblHeader/>
        </w:trPr>
        <w:tc>
          <w:tcPr>
            <w:tcW w:w="3082" w:type="dxa"/>
            <w:shd w:val="clear" w:color="auto" w:fill="FFFFFF"/>
            <w:vAlign w:val="center"/>
          </w:tcPr>
          <w:p w:rsidR="00EA1814" w:rsidRPr="00D22413" w:rsidRDefault="00EA1814" w:rsidP="00EA1814">
            <w:pPr>
              <w:pStyle w:val="Tablerowheadings2"/>
            </w:pPr>
            <w:proofErr w:type="spellStart"/>
            <w:r w:rsidRPr="005A5C80">
              <w:t>CIRate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1</w:t>
            </w:r>
          </w:p>
        </w:tc>
        <w:tc>
          <w:tcPr>
            <w:tcW w:w="137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</w:p>
        </w:tc>
        <w:tc>
          <w:tcPr>
            <w:tcW w:w="1273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</w:p>
        </w:tc>
        <w:tc>
          <w:tcPr>
            <w:tcW w:w="136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</w:p>
        </w:tc>
      </w:tr>
      <w:tr w:rsidR="00EA1814" w:rsidRPr="00D01C54" w:rsidTr="00276A67">
        <w:trPr>
          <w:cantSplit/>
          <w:tblHeader/>
        </w:trPr>
        <w:tc>
          <w:tcPr>
            <w:tcW w:w="3082" w:type="dxa"/>
            <w:shd w:val="clear" w:color="auto" w:fill="FFFFFF"/>
            <w:vAlign w:val="center"/>
          </w:tcPr>
          <w:p w:rsidR="00EA1814" w:rsidRPr="00D22413" w:rsidRDefault="00EA1814" w:rsidP="00EA1814">
            <w:pPr>
              <w:pStyle w:val="Tablerowheadings2"/>
            </w:pPr>
            <w:r>
              <w:t>Adaptability score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-</w:t>
            </w:r>
            <w:r>
              <w:t>0</w:t>
            </w:r>
            <w:r w:rsidRPr="00D01C54">
              <w:t>.160</w:t>
            </w:r>
          </w:p>
        </w:tc>
        <w:tc>
          <w:tcPr>
            <w:tcW w:w="137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1</w:t>
            </w:r>
          </w:p>
        </w:tc>
        <w:tc>
          <w:tcPr>
            <w:tcW w:w="1273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</w:p>
        </w:tc>
        <w:tc>
          <w:tcPr>
            <w:tcW w:w="136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</w:p>
        </w:tc>
      </w:tr>
      <w:tr w:rsidR="00EA1814" w:rsidRPr="00D01C54" w:rsidTr="00276A67">
        <w:trPr>
          <w:cantSplit/>
          <w:tblHeader/>
        </w:trPr>
        <w:tc>
          <w:tcPr>
            <w:tcW w:w="3082" w:type="dxa"/>
            <w:shd w:val="clear" w:color="auto" w:fill="FFFFFF"/>
            <w:vAlign w:val="center"/>
          </w:tcPr>
          <w:p w:rsidR="00EA1814" w:rsidRPr="00D22413" w:rsidRDefault="00EA1814" w:rsidP="00EA1814">
            <w:pPr>
              <w:pStyle w:val="Tablerowheadings2"/>
            </w:pPr>
            <w:r>
              <w:t>Clinical knowledge score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>
              <w:t>0</w:t>
            </w:r>
            <w:r w:rsidRPr="00D01C54">
              <w:t>.127</w:t>
            </w:r>
          </w:p>
        </w:tc>
        <w:tc>
          <w:tcPr>
            <w:tcW w:w="137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-</w:t>
            </w:r>
            <w:r>
              <w:t>0</w:t>
            </w:r>
            <w:r w:rsidRPr="00D01C54">
              <w:t>.168</w:t>
            </w:r>
          </w:p>
        </w:tc>
        <w:tc>
          <w:tcPr>
            <w:tcW w:w="1273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</w:p>
        </w:tc>
      </w:tr>
      <w:tr w:rsidR="00EA1814" w:rsidRPr="00D01C54" w:rsidTr="00276A67">
        <w:trPr>
          <w:cantSplit/>
          <w:tblHeader/>
        </w:trPr>
        <w:tc>
          <w:tcPr>
            <w:tcW w:w="3082" w:type="dxa"/>
            <w:shd w:val="clear" w:color="auto" w:fill="FFFFFF"/>
            <w:vAlign w:val="center"/>
          </w:tcPr>
          <w:p w:rsidR="00EA1814" w:rsidRPr="00D22413" w:rsidRDefault="00EA1814" w:rsidP="00EA1814">
            <w:pPr>
              <w:pStyle w:val="Tablerowheadings2"/>
            </w:pPr>
            <w:r w:rsidRPr="002F1142">
              <w:t>Av</w:t>
            </w:r>
            <w:r>
              <w:t>erage p</w:t>
            </w:r>
            <w:r w:rsidRPr="002F1142">
              <w:t>h</w:t>
            </w:r>
            <w:r>
              <w:t>armacist w</w:t>
            </w:r>
            <w:r w:rsidRPr="002F1142">
              <w:t>orkload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-</w:t>
            </w:r>
            <w:r>
              <w:t>0</w:t>
            </w:r>
            <w:r w:rsidRPr="00D01C54">
              <w:t>.083</w:t>
            </w:r>
          </w:p>
        </w:tc>
        <w:tc>
          <w:tcPr>
            <w:tcW w:w="137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>
              <w:t>0</w:t>
            </w:r>
            <w:r w:rsidRPr="00D01C54">
              <w:t>.098</w:t>
            </w:r>
          </w:p>
        </w:tc>
        <w:tc>
          <w:tcPr>
            <w:tcW w:w="1273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-</w:t>
            </w:r>
            <w:r>
              <w:t>0</w:t>
            </w:r>
            <w:r w:rsidRPr="00D01C54">
              <w:t>.028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</w:pPr>
            <w:r w:rsidRPr="00D01C54">
              <w:t>1</w:t>
            </w:r>
          </w:p>
        </w:tc>
      </w:tr>
      <w:tr w:rsidR="00EA1814" w:rsidRPr="00D01C54" w:rsidTr="00276A67">
        <w:trPr>
          <w:cantSplit/>
        </w:trPr>
        <w:tc>
          <w:tcPr>
            <w:tcW w:w="7937" w:type="dxa"/>
            <w:gridSpan w:val="5"/>
            <w:shd w:val="clear" w:color="auto" w:fill="FFFFFF"/>
            <w:vAlign w:val="center"/>
          </w:tcPr>
          <w:p w:rsidR="00EA1814" w:rsidRPr="00D01C54" w:rsidRDefault="00EA1814" w:rsidP="00EA1814">
            <w:pPr>
              <w:pStyle w:val="Tablecontents"/>
              <w:jc w:val="left"/>
            </w:pPr>
            <w:r w:rsidRPr="00C305A2">
              <w:rPr>
                <w:sz w:val="18"/>
              </w:rPr>
              <w:t>a. Little's MCAR test: Chi-Square = 19.044, DF = 11, Sig. = .060</w:t>
            </w:r>
          </w:p>
        </w:tc>
      </w:tr>
    </w:tbl>
    <w:p w:rsidR="00457CBD" w:rsidRPr="00464998" w:rsidRDefault="00EA1814" w:rsidP="00276A67">
      <w:pPr>
        <w:pStyle w:val="Caption"/>
        <w:jc w:val="left"/>
        <w:rPr>
          <w:rFonts w:ascii="Times New Roman" w:hAnsi="Times New Roman" w:cs="Times New Roman"/>
          <w:sz w:val="24"/>
          <w:szCs w:val="24"/>
        </w:rPr>
      </w:pPr>
      <w:bookmarkStart w:id="4" w:name="_Ref304389613"/>
      <w:bookmarkStart w:id="5" w:name="_Ref287263885"/>
      <w:r>
        <w:t xml:space="preserve">Table </w:t>
      </w:r>
      <w:r w:rsidR="006707BB">
        <w:fldChar w:fldCharType="begin"/>
      </w:r>
      <w:r w:rsidR="006707BB">
        <w:instrText xml:space="preserve"> SEQ Table \* ARABIC </w:instrText>
      </w:r>
      <w:r w:rsidR="006707BB">
        <w:fldChar w:fldCharType="separate"/>
      </w:r>
      <w:r w:rsidR="00276A67">
        <w:rPr>
          <w:noProof/>
        </w:rPr>
        <w:t>4</w:t>
      </w:r>
      <w:r w:rsidR="006707BB">
        <w:rPr>
          <w:noProof/>
        </w:rPr>
        <w:fldChar w:fldCharType="end"/>
      </w:r>
      <w:bookmarkEnd w:id="4"/>
      <w:r>
        <w:t>:</w:t>
      </w:r>
      <w:bookmarkEnd w:id="5"/>
      <w:r>
        <w:t xml:space="preserve"> Distribution of missing values</w:t>
      </w:r>
      <w:bookmarkStart w:id="6" w:name="_GoBack"/>
      <w:bookmarkEnd w:id="6"/>
    </w:p>
    <w:sectPr w:rsidR="00457CBD" w:rsidRPr="00464998" w:rsidSect="006707BB">
      <w:pgSz w:w="16838" w:h="11906" w:orient="landscape"/>
      <w:pgMar w:top="2552" w:right="1247" w:bottom="1021" w:left="124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46B0B"/>
    <w:multiLevelType w:val="hybridMultilevel"/>
    <w:tmpl w:val="3C7E01CE"/>
    <w:lvl w:ilvl="0" w:tplc="A3C69222">
      <w:start w:val="1"/>
      <w:numFmt w:val="bullet"/>
      <w:pStyle w:val="ListParagraph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3E310EAB"/>
    <w:multiLevelType w:val="hybridMultilevel"/>
    <w:tmpl w:val="45345706"/>
    <w:lvl w:ilvl="0" w:tplc="D4D239C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AA70355C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9CDA06DE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74CEDA0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B7408B4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C10B54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A8E004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ED097AA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D36423D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66714F41"/>
    <w:multiLevelType w:val="hybridMultilevel"/>
    <w:tmpl w:val="64B26A20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399"/>
    <w:rsid w:val="00152B45"/>
    <w:rsid w:val="001C7D03"/>
    <w:rsid w:val="00223607"/>
    <w:rsid w:val="00276A67"/>
    <w:rsid w:val="002A3399"/>
    <w:rsid w:val="003451F6"/>
    <w:rsid w:val="003517E2"/>
    <w:rsid w:val="00457CBD"/>
    <w:rsid w:val="00464998"/>
    <w:rsid w:val="00472004"/>
    <w:rsid w:val="004C6399"/>
    <w:rsid w:val="0050483F"/>
    <w:rsid w:val="006170A9"/>
    <w:rsid w:val="006203CB"/>
    <w:rsid w:val="006707BB"/>
    <w:rsid w:val="007D44D0"/>
    <w:rsid w:val="008B6910"/>
    <w:rsid w:val="009657C5"/>
    <w:rsid w:val="009767A2"/>
    <w:rsid w:val="00A00355"/>
    <w:rsid w:val="00B916E7"/>
    <w:rsid w:val="00C37C47"/>
    <w:rsid w:val="00C62333"/>
    <w:rsid w:val="00C81A1A"/>
    <w:rsid w:val="00CD3ABA"/>
    <w:rsid w:val="00CE67A3"/>
    <w:rsid w:val="00EA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CBD"/>
    <w:pPr>
      <w:spacing w:line="360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7CBD"/>
    <w:pPr>
      <w:keepNext/>
      <w:keepLines/>
      <w:spacing w:before="240" w:after="0"/>
      <w:outlineLvl w:val="0"/>
    </w:pPr>
    <w:rPr>
      <w:rFonts w:eastAsiaTheme="majorEastAsia" w:cstheme="minorHAnsi"/>
      <w:b/>
      <w:bCs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link w:val="TablecontentsChar"/>
    <w:qFormat/>
    <w:rsid w:val="00457CBD"/>
    <w:pPr>
      <w:keepNext/>
      <w:keepLines/>
      <w:spacing w:after="0" w:line="276" w:lineRule="auto"/>
      <w:jc w:val="right"/>
    </w:pPr>
    <w:rPr>
      <w:rFonts w:ascii="Calibri" w:eastAsia="Times New Roman" w:hAnsi="Calibri" w:cs="Times New Roman"/>
      <w:color w:val="000000"/>
    </w:rPr>
  </w:style>
  <w:style w:type="character" w:customStyle="1" w:styleId="TablecontentsChar">
    <w:name w:val="Table contents Char"/>
    <w:basedOn w:val="DefaultParagraphFont"/>
    <w:link w:val="Tablecontents"/>
    <w:rsid w:val="00457CBD"/>
    <w:rPr>
      <w:rFonts w:ascii="Calibri" w:eastAsia="Times New Roman" w:hAnsi="Calibri" w:cs="Times New Roman"/>
      <w:color w:val="000000"/>
      <w:lang w:eastAsia="en-AU"/>
    </w:rPr>
  </w:style>
  <w:style w:type="paragraph" w:customStyle="1" w:styleId="Tablecolumnheadings">
    <w:name w:val="Table column headings"/>
    <w:basedOn w:val="Tablecontents"/>
    <w:link w:val="TablecolumnheadingsChar"/>
    <w:qFormat/>
    <w:rsid w:val="00457CBD"/>
    <w:pPr>
      <w:jc w:val="center"/>
    </w:pPr>
    <w:rPr>
      <w:b/>
    </w:rPr>
  </w:style>
  <w:style w:type="character" w:customStyle="1" w:styleId="TablecolumnheadingsChar">
    <w:name w:val="Table column headings Char"/>
    <w:basedOn w:val="TablecontentsChar"/>
    <w:link w:val="Tablecolumnheadings"/>
    <w:rsid w:val="00457CBD"/>
    <w:rPr>
      <w:rFonts w:ascii="Calibri" w:eastAsia="Times New Roman" w:hAnsi="Calibri" w:cs="Times New Roman"/>
      <w:b/>
      <w:color w:val="000000"/>
      <w:lang w:eastAsia="en-AU"/>
    </w:rPr>
  </w:style>
  <w:style w:type="paragraph" w:customStyle="1" w:styleId="Tablerowheadings2">
    <w:name w:val="Table row headings 2"/>
    <w:basedOn w:val="Tablecontents"/>
    <w:link w:val="Tablerowheadings2Char"/>
    <w:qFormat/>
    <w:rsid w:val="00457CBD"/>
    <w:pPr>
      <w:jc w:val="left"/>
    </w:pPr>
    <w:rPr>
      <w:b/>
      <w:lang w:eastAsia="en-US"/>
    </w:rPr>
  </w:style>
  <w:style w:type="character" w:customStyle="1" w:styleId="Tablerowheadings2Char">
    <w:name w:val="Table row headings 2 Char"/>
    <w:basedOn w:val="TablecontentsChar"/>
    <w:link w:val="Tablerowheadings2"/>
    <w:rsid w:val="00457CBD"/>
    <w:rPr>
      <w:rFonts w:ascii="Calibri" w:eastAsia="Times New Roman" w:hAnsi="Calibri" w:cs="Times New Roman"/>
      <w:b/>
      <w:color w:val="000000"/>
      <w:lang w:eastAsia="en-AU"/>
    </w:rPr>
  </w:style>
  <w:style w:type="paragraph" w:customStyle="1" w:styleId="Tabletotalbox">
    <w:name w:val="Table total box"/>
    <w:basedOn w:val="Normal"/>
    <w:link w:val="TabletotalboxChar"/>
    <w:qFormat/>
    <w:rsid w:val="00457CBD"/>
    <w:pPr>
      <w:keepNext/>
      <w:keepLines/>
      <w:spacing w:after="0" w:line="276" w:lineRule="auto"/>
      <w:jc w:val="center"/>
    </w:pPr>
    <w:rPr>
      <w:rFonts w:ascii="Calibri" w:eastAsia="Times New Roman" w:hAnsi="Calibri" w:cs="Times New Roman"/>
      <w:b/>
      <w:color w:val="000000"/>
      <w:lang w:eastAsia="en-US"/>
    </w:rPr>
  </w:style>
  <w:style w:type="character" w:customStyle="1" w:styleId="TabletotalboxChar">
    <w:name w:val="Table total box Char"/>
    <w:basedOn w:val="DefaultParagraphFont"/>
    <w:link w:val="Tabletotalbox"/>
    <w:rsid w:val="00457CBD"/>
    <w:rPr>
      <w:rFonts w:ascii="Calibri" w:eastAsia="Times New Roman" w:hAnsi="Calibri" w:cs="Times New Roman"/>
      <w:b/>
      <w:color w:val="000000"/>
    </w:rPr>
  </w:style>
  <w:style w:type="paragraph" w:styleId="Caption">
    <w:name w:val="caption"/>
    <w:aliases w:val="Caption Char"/>
    <w:basedOn w:val="Normal"/>
    <w:next w:val="Normal"/>
    <w:link w:val="CaptionChar1"/>
    <w:uiPriority w:val="35"/>
    <w:unhideWhenUsed/>
    <w:qFormat/>
    <w:rsid w:val="00457CBD"/>
    <w:pPr>
      <w:spacing w:line="240" w:lineRule="auto"/>
      <w:jc w:val="center"/>
    </w:pPr>
    <w:rPr>
      <w:rFonts w:cstheme="minorHAnsi"/>
      <w:b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457CBD"/>
    <w:rPr>
      <w:rFonts w:eastAsiaTheme="majorEastAsia" w:cstheme="minorHAnsi"/>
      <w:b/>
      <w:bCs/>
      <w:color w:val="000000" w:themeColor="text1"/>
      <w:sz w:val="24"/>
      <w:szCs w:val="24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457CBD"/>
    <w:pPr>
      <w:numPr>
        <w:numId w:val="2"/>
      </w:numPr>
      <w:spacing w:after="120"/>
      <w:contextualSpacing/>
    </w:pPr>
    <w:rPr>
      <w:lang w:val="en-US" w:eastAsia="en-US"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7CBD"/>
    <w:rPr>
      <w:rFonts w:eastAsiaTheme="minorEastAsia"/>
      <w:lang w:val="en-US" w:bidi="en-US"/>
    </w:rPr>
  </w:style>
  <w:style w:type="character" w:customStyle="1" w:styleId="CaptionChar1">
    <w:name w:val="Caption Char1"/>
    <w:aliases w:val="Caption Char Char"/>
    <w:basedOn w:val="DefaultParagraphFont"/>
    <w:link w:val="Caption"/>
    <w:uiPriority w:val="35"/>
    <w:rsid w:val="003517E2"/>
    <w:rPr>
      <w:rFonts w:eastAsiaTheme="minorEastAsia" w:cstheme="minorHAnsi"/>
      <w:bCs/>
      <w:color w:val="000000" w:themeColor="text1"/>
      <w:lang w:eastAsia="en-AU"/>
    </w:rPr>
  </w:style>
  <w:style w:type="paragraph" w:customStyle="1" w:styleId="Tablerowheading1">
    <w:name w:val="Table row heading 1"/>
    <w:basedOn w:val="Tablerowheadings2"/>
    <w:link w:val="Tablerowheading1Char"/>
    <w:qFormat/>
    <w:rsid w:val="003517E2"/>
    <w:pPr>
      <w:jc w:val="center"/>
    </w:pPr>
  </w:style>
  <w:style w:type="character" w:customStyle="1" w:styleId="Tablerowheading1Char">
    <w:name w:val="Table row heading 1 Char"/>
    <w:basedOn w:val="Tablerowheadings2Char"/>
    <w:link w:val="Tablerowheading1"/>
    <w:rsid w:val="003517E2"/>
    <w:rPr>
      <w:rFonts w:ascii="Calibri" w:eastAsia="Times New Roman" w:hAnsi="Calibri" w:cs="Times New Roman"/>
      <w:b/>
      <w:color w:val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E2"/>
    <w:rPr>
      <w:rFonts w:ascii="Tahoma" w:eastAsiaTheme="minorEastAsi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Mackenzie Williams</cp:lastModifiedBy>
  <cp:revision>6</cp:revision>
  <dcterms:created xsi:type="dcterms:W3CDTF">2011-09-21T07:22:00Z</dcterms:created>
  <dcterms:modified xsi:type="dcterms:W3CDTF">2012-02-13T04:32:00Z</dcterms:modified>
</cp:coreProperties>
</file>