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3901A" w14:textId="1925A9E1" w:rsidR="00BC4FC1" w:rsidRDefault="00BC4FC1" w:rsidP="00CC6431">
      <w:pPr>
        <w:pStyle w:val="BodyText"/>
        <w:spacing w:before="4"/>
        <w:rPr>
          <w:sz w:val="23"/>
        </w:rPr>
      </w:pPr>
      <w:r>
        <w:rPr>
          <w:noProof/>
        </w:rPr>
        <mc:AlternateContent>
          <mc:Choice Requires="wps">
            <w:drawing>
              <wp:anchor distT="0" distB="0" distL="0" distR="0" simplePos="0" relativeHeight="251661312" behindDoc="1" locked="0" layoutInCell="1" allowOverlap="1" wp14:anchorId="1695D512" wp14:editId="0D1BCFDC">
                <wp:simplePos x="0" y="0"/>
                <wp:positionH relativeFrom="page">
                  <wp:posOffset>902335</wp:posOffset>
                </wp:positionH>
                <wp:positionV relativeFrom="paragraph">
                  <wp:posOffset>186055</wp:posOffset>
                </wp:positionV>
                <wp:extent cx="5727700" cy="1270"/>
                <wp:effectExtent l="0" t="0" r="0" b="0"/>
                <wp:wrapTopAndBottom/>
                <wp:docPr id="336783872" name="Freeform: Shape 3367838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27700" cy="1270"/>
                        </a:xfrm>
                        <a:custGeom>
                          <a:avLst/>
                          <a:gdLst>
                            <a:gd name="T0" fmla="+- 0 1421 1421"/>
                            <a:gd name="T1" fmla="*/ T0 w 9020"/>
                            <a:gd name="T2" fmla="+- 0 10441 1421"/>
                            <a:gd name="T3" fmla="*/ T2 w 9020"/>
                          </a:gdLst>
                          <a:ahLst/>
                          <a:cxnLst>
                            <a:cxn ang="0">
                              <a:pos x="T1" y="0"/>
                            </a:cxn>
                            <a:cxn ang="0">
                              <a:pos x="T3" y="0"/>
                            </a:cxn>
                          </a:cxnLst>
                          <a:rect l="0" t="0" r="r" b="b"/>
                          <a:pathLst>
                            <a:path w="9020">
                              <a:moveTo>
                                <a:pt x="0" y="0"/>
                              </a:moveTo>
                              <a:lnTo>
                                <a:pt x="9020" y="0"/>
                              </a:lnTo>
                            </a:path>
                          </a:pathLst>
                        </a:custGeom>
                        <a:noFill/>
                        <a:ln w="88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38722" id="Freeform: Shape 336783872" o:spid="_x0000_s1026" style="position:absolute;margin-left:71.05pt;margin-top:14.65pt;width:451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" path="m,l9020,e" filled="f" strokeweight=".24447mm">
                <v:path arrowok="t" o:connecttype="custom" o:connectlocs="0,0;5727700,0" o:connectangles="0,0"/>
                <w10:wrap type="topAndBottom" anchorx="page"/>
              </v:shape>
            </w:pict>
          </mc:Fallback>
        </mc:AlternateContent>
      </w:r>
    </w:p>
    <w:p w14:paraId="2C6966D0" w14:textId="77777777" w:rsidR="00282CEB" w:rsidRPr="00CC6431" w:rsidRDefault="00282CEB" w:rsidP="00CC6431">
      <w:pPr>
        <w:pStyle w:val="BodyText"/>
        <w:spacing w:before="4"/>
        <w:rPr>
          <w:sz w:val="23"/>
        </w:rPr>
      </w:pPr>
    </w:p>
    <w:p w14:paraId="6C6BD536" w14:textId="273A0BFB" w:rsidR="00BC4FC1" w:rsidRDefault="00BC4FC1" w:rsidP="00BC4FC1">
      <w:pPr>
        <w:pStyle w:val="Heading1"/>
      </w:pPr>
      <w:r>
        <w:rPr>
          <w:spacing w:val="-2"/>
        </w:rPr>
        <w:t xml:space="preserve">CONCEPTUALISING COMMUNITY RESPONSES TO REGENERATIVE PROCESSES IN FLINDERS ISLAND </w:t>
      </w:r>
    </w:p>
    <w:p w14:paraId="7FDF796B" w14:textId="235E96B3" w:rsidR="00BC4FC1" w:rsidRDefault="00BC4FC1" w:rsidP="000839F0">
      <w:pPr>
        <w:pStyle w:val="Heading3"/>
        <w:spacing w:before="252"/>
      </w:pPr>
      <w:r>
        <w:t>Kirsty Flint and</w:t>
      </w:r>
      <w:r>
        <w:rPr>
          <w:spacing w:val="-8"/>
        </w:rPr>
        <w:t xml:space="preserve"> </w:t>
      </w:r>
      <w:r>
        <w:t>Anne Hardy</w:t>
      </w:r>
    </w:p>
    <w:p w14:paraId="3B41EC8A" w14:textId="77777777" w:rsidR="00BC4FC1" w:rsidRDefault="00BC4FC1" w:rsidP="000839F0">
      <w:pPr>
        <w:pStyle w:val="BodyText"/>
        <w:spacing w:before="11"/>
        <w:ind w:left="100"/>
        <w:rPr>
          <w:b/>
          <w:sz w:val="21"/>
        </w:rPr>
      </w:pPr>
    </w:p>
    <w:p w14:paraId="4524246A" w14:textId="719329CE" w:rsidR="00BC4FC1" w:rsidRDefault="00CC6431" w:rsidP="000839F0">
      <w:pPr>
        <w:ind w:left="100"/>
        <w:rPr>
          <w:b/>
        </w:rPr>
      </w:pPr>
      <w:r>
        <w:rPr>
          <w:b/>
        </w:rPr>
        <w:t>University of Tasmania</w:t>
      </w:r>
    </w:p>
    <w:p w14:paraId="07D3686E" w14:textId="77777777" w:rsidR="00CB21ED" w:rsidRDefault="00CB21ED" w:rsidP="00CB21ED">
      <w:pPr>
        <w:pStyle w:val="BodyText"/>
        <w:spacing w:before="8"/>
        <w:rPr>
          <w:b/>
          <w:sz w:val="27"/>
        </w:rPr>
      </w:pPr>
    </w:p>
    <w:p w14:paraId="18CCE881" w14:textId="77777777" w:rsidR="00CB21ED" w:rsidRDefault="00CB21ED" w:rsidP="00CB21ED">
      <w:pPr>
        <w:pStyle w:val="Heading3"/>
        <w:spacing w:before="246"/>
      </w:pPr>
      <w:r>
        <w:rPr>
          <w:spacing w:val="-2"/>
        </w:rPr>
        <w:t>ABSTRACT</w:t>
      </w:r>
    </w:p>
    <w:p w14:paraId="4BB4007C" w14:textId="6CC836D1" w:rsidR="005C4F6E" w:rsidRPr="00022AAC" w:rsidRDefault="005C4F6E" w:rsidP="0010333A">
      <w:pPr>
        <w:pStyle w:val="pb-2"/>
        <w:ind w:left="720"/>
        <w:rPr>
          <w:strike/>
          <w:sz w:val="22"/>
          <w:szCs w:val="22"/>
        </w:rPr>
      </w:pPr>
      <w:r w:rsidRPr="00C71369">
        <w:rPr>
          <w:sz w:val="22"/>
          <w:szCs w:val="22"/>
        </w:rPr>
        <w:t xml:space="preserve">The concept of regenerative tourism assumes sustainable use of natural resources, protection of cultural heritage, and the strengthening of the economic and social fabric of local communities </w:t>
      </w:r>
      <w:r w:rsidR="00AA12C1">
        <w:rPr>
          <w:sz w:val="22"/>
          <w:szCs w:val="22"/>
        </w:rPr>
        <w:fldChar w:fldCharType="begin"/>
      </w:r>
      <w:r w:rsidR="00AA12C1">
        <w:rPr>
          <w:sz w:val="22"/>
          <w:szCs w:val="22"/>
        </w:rPr>
        <w:instrText xml:space="preserve"> ADDIN ZOTERO_ITEM CSL_CITATION {"citationID":"coTkYt3H","properties":{"formattedCitation":"(Jung et al., 2015)","plainCitation":"(Jung et al., 2015)","noteIndex":0},"citationItems":[{"id":1483,"uris":["http://zotero.org/users/5963047/items/ECUV43RD"],"itemData":{"id":1483,"type":"article-journal","abstract":"The preliminary stages of a large scale culture-led urban regeneration project initiated by the Korean government in Gwangju were studied. Stakeholders’ perceptions of culture’s contribution to urban regeneration and their views on collaborative partnerships were explored. Qualitative data were gathered via semi-structured interviews from 19 purposively selected stakeholders. This case study determined public–private cooperation in regenerating Gwangju could, simultaneously, generate positive socio-cultural and economic impacts in society. However, stakeholders lacked opportunities for active participation. Hence, closer working relationships between central–municipal government and public–private/voluntary sectors were recommended. The case confirmed that long-term implementation of such projects needs to be anticipated and based on longitudinal and structured strategic planning to promote successful partnership collaborations amongst central/municipal governments, local communities and residents. This paper contributed to the knowledge gap in the area of stakeholder collaboration in building tourism/cultural systems by examining the micro-level interactions amongst stakeholders.","container-title":"Cities","DOI":"10.1016/j.cities.2014.12.003","ISSN":"0264-2751","journalAbbreviation":"Cities","language":"en","page":"29-39","source":"ScienceDirect","title":"The role of stakeholder collaboration in culture-led urban regeneration: A case study of the Gwangju project, Korea","title-short":"The role of stakeholder collaboration in culture-led urban regeneration","URL":"https://www.sciencedirect.com/science/article/pii/S0264275114002066","volume":"44","author":[{"family":"Jung","given":"Timothy H."},{"family":"Lee","given":"Jinsik"},{"family":"Yap","given":"Matthew H. T."},{"family":"Ineson","given":"Elizabeth M."}],"accessed":{"date-parts":[["2021",11,8]]},"issued":{"date-parts":[["2015",4,1]]}}}],"schema":"https://github.com/citation-style-language/schema/raw/master/csl-citation.json"} </w:instrText>
      </w:r>
      <w:r w:rsidR="00AA12C1">
        <w:rPr>
          <w:sz w:val="22"/>
          <w:szCs w:val="22"/>
        </w:rPr>
        <w:fldChar w:fldCharType="separate"/>
      </w:r>
      <w:r w:rsidR="00AA12C1" w:rsidRPr="00AA12C1">
        <w:rPr>
          <w:sz w:val="22"/>
        </w:rPr>
        <w:t>(Jung et al., 2015)</w:t>
      </w:r>
      <w:r w:rsidR="00AA12C1">
        <w:rPr>
          <w:sz w:val="22"/>
          <w:szCs w:val="22"/>
        </w:rPr>
        <w:fldChar w:fldCharType="end"/>
      </w:r>
      <w:r w:rsidRPr="00C71369">
        <w:rPr>
          <w:sz w:val="22"/>
          <w:szCs w:val="22"/>
        </w:rPr>
        <w:t xml:space="preserve">. It has its genesis in agriculture and is a rehabilitation approach to food and farming systems with a focus on soil healing, diversity, and sequestering carbon from the atmosphere </w:t>
      </w:r>
      <w:r w:rsidR="00AA12C1">
        <w:rPr>
          <w:sz w:val="22"/>
          <w:szCs w:val="22"/>
        </w:rPr>
        <w:fldChar w:fldCharType="begin"/>
      </w:r>
      <w:r w:rsidR="00AA12C1">
        <w:rPr>
          <w:sz w:val="22"/>
          <w:szCs w:val="22"/>
        </w:rPr>
        <w:instrText xml:space="preserve"> ADDIN ZOTERO_ITEM CSL_CITATION {"citationID":"5lcWyuTt","properties":{"formattedCitation":"(Bellato et al., 2021)","plainCitation":"(Bellato et al., 2021)","noteIndex":0},"citationItems":[{"id":1409,"uris":["http://zotero.org/users/5963047/items/85AN4A7Q"],"itemData":{"id":1409,"type":"article-journal","container-title":"Tourism Geographies","issue":"4","title":"Regenerative tourism: A conceptual framework leveraging theory and practice","volume":"25","author":[{"family":"Bellato","given":"L"},{"family":"Frantzeskaki","given":"N"},{"family":"Nygaard","given":"A"}],"issued":{"date-parts":[["2021"]]}}}],"schema":"https://github.com/citation-style-language/schema/raw/master/csl-citation.json"} </w:instrText>
      </w:r>
      <w:r w:rsidR="00AA12C1">
        <w:rPr>
          <w:sz w:val="22"/>
          <w:szCs w:val="22"/>
        </w:rPr>
        <w:fldChar w:fldCharType="separate"/>
      </w:r>
      <w:r w:rsidR="00AA12C1" w:rsidRPr="00AA12C1">
        <w:rPr>
          <w:sz w:val="22"/>
        </w:rPr>
        <w:t>(Bellato</w:t>
      </w:r>
      <w:r w:rsidR="000B45D9">
        <w:rPr>
          <w:sz w:val="22"/>
        </w:rPr>
        <w:t>, Frantzeskaki &amp; Nygaard,</w:t>
      </w:r>
      <w:r w:rsidR="00F214F5">
        <w:rPr>
          <w:sz w:val="22"/>
        </w:rPr>
        <w:t xml:space="preserve"> </w:t>
      </w:r>
      <w:r w:rsidR="00AA12C1" w:rsidRPr="00AA12C1">
        <w:rPr>
          <w:sz w:val="22"/>
        </w:rPr>
        <w:t>2021)</w:t>
      </w:r>
      <w:r w:rsidR="00AA12C1">
        <w:rPr>
          <w:sz w:val="22"/>
          <w:szCs w:val="22"/>
        </w:rPr>
        <w:fldChar w:fldCharType="end"/>
      </w:r>
      <w:r w:rsidRPr="00C71369">
        <w:rPr>
          <w:sz w:val="22"/>
          <w:szCs w:val="22"/>
        </w:rPr>
        <w:t>. Regenerative tourism puts the community first, prioritizing sustainable economic growth, environmental preservation, and social wellbeing. While there has been a lot of discussion on regenerative tourism in recent years, there is a lack of studies that examine the different viewpoints of regenerative tourism within a specific region. Moreover, many of the studies have been conducted by researchers with a Western-focused background. There is a lack of research exploring the concept from a non-white and culturally diverse background, which is needed for the concept to be better understood and applied in a culturally sensitive and holistic way. In this case study, the perspectives of 30 residents were collated on Flinders Island, Tasmania. The research approach focussed on eliciting residents’ diverse and nuanced perspectives, particularly examining their desires regarding intervention and change. This paper highlights the findings of the study, including how the community views regenerative processes and the different views on regenerative tourism that exist within the community. In doing so it answers the following questions: how does the community view the tourism industry on Flinders Island?  What does regenerative tourism mean to the Flinders Island community? What do residents see as aspects of tourism that require attention? Ultimately, this paper provides insight into the community's opinions on regenerative tourism and highlights the areas of improvement. The implications of the lead researcher as being from a non-white background will also be discussed within this presentation.</w:t>
      </w:r>
    </w:p>
    <w:p w14:paraId="0E7032C8" w14:textId="538368AA" w:rsidR="00CB21ED" w:rsidRDefault="00CB21ED" w:rsidP="00CB21ED">
      <w:pPr>
        <w:pStyle w:val="BodyText"/>
        <w:ind w:left="951" w:right="173"/>
      </w:pPr>
    </w:p>
    <w:p w14:paraId="0158DE87" w14:textId="77777777" w:rsidR="00CB21ED" w:rsidRDefault="00CB21ED" w:rsidP="00CB21ED">
      <w:pPr>
        <w:pStyle w:val="BodyText"/>
        <w:spacing w:before="5"/>
      </w:pPr>
    </w:p>
    <w:p w14:paraId="495D998A" w14:textId="4B99E3D0" w:rsidR="00CB21ED" w:rsidRDefault="00CB21ED" w:rsidP="00CB21ED">
      <w:pPr>
        <w:ind w:left="100"/>
        <w:rPr>
          <w:b/>
          <w:i/>
        </w:rPr>
      </w:pPr>
      <w:r>
        <w:rPr>
          <w:b/>
        </w:rPr>
        <w:t>Keywords:</w:t>
      </w:r>
      <w:r>
        <w:rPr>
          <w:b/>
          <w:spacing w:val="-1"/>
        </w:rPr>
        <w:t xml:space="preserve"> </w:t>
      </w:r>
      <w:r>
        <w:rPr>
          <w:b/>
          <w:i/>
        </w:rPr>
        <w:t>Diversity, Community, Regenerative Tourism</w:t>
      </w:r>
    </w:p>
    <w:p w14:paraId="7F6C58F1" w14:textId="77777777" w:rsidR="004948A8" w:rsidRDefault="004948A8" w:rsidP="00314CD9">
      <w:pPr>
        <w:rPr>
          <w:rFonts w:ascii="Times New Roman" w:hAnsi="Times New Roman" w:cs="Times New Roman"/>
        </w:rPr>
      </w:pPr>
    </w:p>
    <w:p w14:paraId="33AF4FC7" w14:textId="2F6D9901" w:rsidR="00047CA5" w:rsidRPr="004948A8" w:rsidRDefault="00047CA5" w:rsidP="00314CD9">
      <w:pPr>
        <w:rPr>
          <w:rFonts w:ascii="Times New Roman" w:hAnsi="Times New Roman" w:cs="Times New Roman"/>
          <w:b/>
          <w:bCs/>
          <w:sz w:val="28"/>
          <w:szCs w:val="28"/>
        </w:rPr>
      </w:pPr>
      <w:r w:rsidRPr="004948A8">
        <w:rPr>
          <w:rFonts w:ascii="Times New Roman" w:hAnsi="Times New Roman" w:cs="Times New Roman"/>
          <w:b/>
          <w:bCs/>
          <w:sz w:val="28"/>
          <w:szCs w:val="28"/>
        </w:rPr>
        <w:t>Reference</w:t>
      </w:r>
      <w:r w:rsidR="007228C6">
        <w:rPr>
          <w:rFonts w:ascii="Times New Roman" w:hAnsi="Times New Roman" w:cs="Times New Roman"/>
          <w:b/>
          <w:bCs/>
          <w:sz w:val="28"/>
          <w:szCs w:val="28"/>
        </w:rPr>
        <w:t xml:space="preserve"> List</w:t>
      </w:r>
    </w:p>
    <w:p w14:paraId="7700831B" w14:textId="77777777" w:rsidR="00AA12C1" w:rsidRPr="00AA12C1" w:rsidRDefault="00047CA5" w:rsidP="007228C6">
      <w:pPr>
        <w:pStyle w:val="Bibliography"/>
        <w:spacing w:line="240" w:lineRule="auto"/>
        <w:rPr>
          <w:rFonts w:ascii="Times New Roman" w:hAnsi="Times New Roman" w:cs="Times New Roman"/>
        </w:rPr>
      </w:pPr>
      <w:r>
        <w:rPr>
          <w:b/>
          <w:bCs/>
        </w:rPr>
        <w:fldChar w:fldCharType="begin"/>
      </w:r>
      <w:r>
        <w:rPr>
          <w:b/>
          <w:bCs/>
        </w:rPr>
        <w:instrText xml:space="preserve"> ADDIN ZOTERO_BIBL {"uncited":[],"omitted":[],"custom":[]} CSL_BIBLIOGRAPHY </w:instrText>
      </w:r>
      <w:r>
        <w:rPr>
          <w:b/>
          <w:bCs/>
        </w:rPr>
        <w:fldChar w:fldCharType="separate"/>
      </w:r>
      <w:r w:rsidR="00AA12C1" w:rsidRPr="00AA12C1">
        <w:rPr>
          <w:rFonts w:ascii="Times New Roman" w:hAnsi="Times New Roman" w:cs="Times New Roman"/>
        </w:rPr>
        <w:t xml:space="preserve">Bellato, L., Frantzeskaki, N., &amp; Nygaard, A. (2021). Regenerative tourism: A conceptual framework leveraging theory and practice. </w:t>
      </w:r>
      <w:r w:rsidR="00AA12C1" w:rsidRPr="00AA12C1">
        <w:rPr>
          <w:rFonts w:ascii="Times New Roman" w:hAnsi="Times New Roman" w:cs="Times New Roman"/>
          <w:i/>
          <w:iCs/>
        </w:rPr>
        <w:t>Tourism Geographies</w:t>
      </w:r>
      <w:r w:rsidR="00AA12C1" w:rsidRPr="00AA12C1">
        <w:rPr>
          <w:rFonts w:ascii="Times New Roman" w:hAnsi="Times New Roman" w:cs="Times New Roman"/>
        </w:rPr>
        <w:t xml:space="preserve">, </w:t>
      </w:r>
      <w:r w:rsidR="00AA12C1" w:rsidRPr="00AA12C1">
        <w:rPr>
          <w:rFonts w:ascii="Times New Roman" w:hAnsi="Times New Roman" w:cs="Times New Roman"/>
          <w:i/>
          <w:iCs/>
        </w:rPr>
        <w:t>25</w:t>
      </w:r>
      <w:r w:rsidR="00AA12C1" w:rsidRPr="00AA12C1">
        <w:rPr>
          <w:rFonts w:ascii="Times New Roman" w:hAnsi="Times New Roman" w:cs="Times New Roman"/>
        </w:rPr>
        <w:t>(4).</w:t>
      </w:r>
    </w:p>
    <w:p w14:paraId="69B2AC86" w14:textId="77777777" w:rsidR="00AA12C1" w:rsidRPr="00AA12C1" w:rsidRDefault="00AA12C1" w:rsidP="007228C6">
      <w:pPr>
        <w:pStyle w:val="Bibliography"/>
        <w:spacing w:line="240" w:lineRule="auto"/>
        <w:rPr>
          <w:rFonts w:ascii="Times New Roman" w:hAnsi="Times New Roman" w:cs="Times New Roman"/>
        </w:rPr>
      </w:pPr>
      <w:r w:rsidRPr="00AA12C1">
        <w:rPr>
          <w:rFonts w:ascii="Times New Roman" w:hAnsi="Times New Roman" w:cs="Times New Roman"/>
        </w:rPr>
        <w:t xml:space="preserve">Jung, T. H., Lee, J., Yap, M. H. T., &amp; Ineson, E. M. (2015). The role of stakeholder collaboration in culture-led urban regeneration: A case study of the Gwangju project, Korea. </w:t>
      </w:r>
      <w:r w:rsidRPr="00AA12C1">
        <w:rPr>
          <w:rFonts w:ascii="Times New Roman" w:hAnsi="Times New Roman" w:cs="Times New Roman"/>
          <w:i/>
          <w:iCs/>
        </w:rPr>
        <w:t>Cities</w:t>
      </w:r>
      <w:r w:rsidRPr="00AA12C1">
        <w:rPr>
          <w:rFonts w:ascii="Times New Roman" w:hAnsi="Times New Roman" w:cs="Times New Roman"/>
        </w:rPr>
        <w:t xml:space="preserve">, </w:t>
      </w:r>
      <w:r w:rsidRPr="00AA12C1">
        <w:rPr>
          <w:rFonts w:ascii="Times New Roman" w:hAnsi="Times New Roman" w:cs="Times New Roman"/>
          <w:i/>
          <w:iCs/>
        </w:rPr>
        <w:t>44</w:t>
      </w:r>
      <w:r w:rsidRPr="00AA12C1">
        <w:rPr>
          <w:rFonts w:ascii="Times New Roman" w:hAnsi="Times New Roman" w:cs="Times New Roman"/>
        </w:rPr>
        <w:t>, 29–39. https://doi.org/10.1016/j.cities.2014.12.003</w:t>
      </w:r>
    </w:p>
    <w:p w14:paraId="3372E0AA" w14:textId="0E7165CC" w:rsidR="00BA74CF" w:rsidRDefault="00047CA5" w:rsidP="007228C6">
      <w:pPr>
        <w:spacing w:line="240" w:lineRule="auto"/>
      </w:pPr>
      <w:r>
        <w:rPr>
          <w:rFonts w:ascii="Times New Roman" w:hAnsi="Times New Roman" w:cs="Times New Roman"/>
          <w:b/>
          <w:bCs/>
        </w:rPr>
        <w:fldChar w:fldCharType="end"/>
      </w:r>
    </w:p>
    <w:p w14:paraId="7AEDC580" w14:textId="77777777" w:rsidR="00BA74CF" w:rsidRPr="00047CA5" w:rsidRDefault="00BA74CF" w:rsidP="00314CD9">
      <w:pPr>
        <w:rPr>
          <w:rFonts w:ascii="Times New Roman" w:hAnsi="Times New Roman" w:cs="Times New Roman"/>
          <w:b/>
          <w:bCs/>
        </w:rPr>
      </w:pPr>
    </w:p>
    <w:sectPr w:rsidR="00BA74CF" w:rsidRPr="00047CA5">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9BEDF" w14:textId="77777777" w:rsidR="004E50FE" w:rsidRDefault="004E50FE" w:rsidP="00314CD9">
      <w:pPr>
        <w:spacing w:after="0" w:line="240" w:lineRule="auto"/>
      </w:pPr>
      <w:r>
        <w:separator/>
      </w:r>
    </w:p>
  </w:endnote>
  <w:endnote w:type="continuationSeparator" w:id="0">
    <w:p w14:paraId="2ED38975" w14:textId="77777777" w:rsidR="004E50FE" w:rsidRDefault="004E50FE" w:rsidP="00314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6261" w14:textId="77777777" w:rsidR="004E50FE" w:rsidRDefault="004E50FE" w:rsidP="00314CD9">
      <w:pPr>
        <w:spacing w:after="0" w:line="240" w:lineRule="auto"/>
      </w:pPr>
      <w:r>
        <w:separator/>
      </w:r>
    </w:p>
  </w:footnote>
  <w:footnote w:type="continuationSeparator" w:id="0">
    <w:p w14:paraId="163393DE" w14:textId="77777777" w:rsidR="004E50FE" w:rsidRDefault="004E50FE" w:rsidP="00314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DCCA" w14:textId="77777777" w:rsidR="00BA74CF" w:rsidRDefault="00BA74CF">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86DA5"/>
    <w:multiLevelType w:val="hybridMultilevel"/>
    <w:tmpl w:val="A8FAF18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6A16B1D"/>
    <w:multiLevelType w:val="hybridMultilevel"/>
    <w:tmpl w:val="2FF2A2D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833753">
    <w:abstractNumId w:val="1"/>
  </w:num>
  <w:num w:numId="2" w16cid:durableId="138729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Q1MTa3MDE1MzYwtTRW0lEKTi0uzszPAykwrAUA4zVRJiwAAAA="/>
  </w:docVars>
  <w:rsids>
    <w:rsidRoot w:val="00314CD9"/>
    <w:rsid w:val="00022AAC"/>
    <w:rsid w:val="00040EFE"/>
    <w:rsid w:val="00047CA5"/>
    <w:rsid w:val="000839F0"/>
    <w:rsid w:val="000B2AE8"/>
    <w:rsid w:val="000B45D9"/>
    <w:rsid w:val="0010333A"/>
    <w:rsid w:val="001742E9"/>
    <w:rsid w:val="00226346"/>
    <w:rsid w:val="0023202F"/>
    <w:rsid w:val="00282CEB"/>
    <w:rsid w:val="00282EB7"/>
    <w:rsid w:val="002B19C0"/>
    <w:rsid w:val="00314CD9"/>
    <w:rsid w:val="003915F6"/>
    <w:rsid w:val="003E25E8"/>
    <w:rsid w:val="004176E1"/>
    <w:rsid w:val="00471553"/>
    <w:rsid w:val="00490F26"/>
    <w:rsid w:val="004948A8"/>
    <w:rsid w:val="004E50FE"/>
    <w:rsid w:val="00500159"/>
    <w:rsid w:val="00585528"/>
    <w:rsid w:val="005C4F6E"/>
    <w:rsid w:val="005E31CC"/>
    <w:rsid w:val="00617B24"/>
    <w:rsid w:val="006B7634"/>
    <w:rsid w:val="00714046"/>
    <w:rsid w:val="007228C6"/>
    <w:rsid w:val="00734C56"/>
    <w:rsid w:val="00792A70"/>
    <w:rsid w:val="007B28FB"/>
    <w:rsid w:val="008212C2"/>
    <w:rsid w:val="00884B4D"/>
    <w:rsid w:val="008B04E4"/>
    <w:rsid w:val="008E512E"/>
    <w:rsid w:val="008E5D15"/>
    <w:rsid w:val="0095615E"/>
    <w:rsid w:val="009B7003"/>
    <w:rsid w:val="009F1E28"/>
    <w:rsid w:val="00A127C3"/>
    <w:rsid w:val="00A82BDB"/>
    <w:rsid w:val="00A83EC0"/>
    <w:rsid w:val="00AA12C1"/>
    <w:rsid w:val="00AC191B"/>
    <w:rsid w:val="00BA74CF"/>
    <w:rsid w:val="00BC4225"/>
    <w:rsid w:val="00BC4FC1"/>
    <w:rsid w:val="00C33882"/>
    <w:rsid w:val="00C70296"/>
    <w:rsid w:val="00C71369"/>
    <w:rsid w:val="00C937EA"/>
    <w:rsid w:val="00CB21ED"/>
    <w:rsid w:val="00CC6431"/>
    <w:rsid w:val="00CE1281"/>
    <w:rsid w:val="00D65876"/>
    <w:rsid w:val="00DD7340"/>
    <w:rsid w:val="00E11F8A"/>
    <w:rsid w:val="00E14A0A"/>
    <w:rsid w:val="00E61649"/>
    <w:rsid w:val="00F214F5"/>
    <w:rsid w:val="00F85340"/>
    <w:rsid w:val="00FA736E"/>
    <w:rsid w:val="00FE7AB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84AB5"/>
  <w15:chartTrackingRefBased/>
  <w15:docId w15:val="{65E6E5B7-3315-4E0B-9F32-2ED95766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CB21ED"/>
    <w:pPr>
      <w:widowControl w:val="0"/>
      <w:autoSpaceDE w:val="0"/>
      <w:autoSpaceDN w:val="0"/>
      <w:spacing w:after="0" w:line="240" w:lineRule="auto"/>
      <w:ind w:left="100"/>
      <w:outlineLvl w:val="0"/>
    </w:pPr>
    <w:rPr>
      <w:rFonts w:ascii="Times New Roman" w:eastAsia="Times New Roman" w:hAnsi="Times New Roman" w:cs="Times New Roman"/>
      <w:b/>
      <w:bCs/>
      <w:kern w:val="0"/>
      <w:sz w:val="28"/>
      <w:szCs w:val="28"/>
      <w:lang w:val="en-US"/>
      <w14:ligatures w14:val="none"/>
    </w:rPr>
  </w:style>
  <w:style w:type="paragraph" w:styleId="Heading2">
    <w:name w:val="heading 2"/>
    <w:basedOn w:val="Normal"/>
    <w:link w:val="Heading2Char"/>
    <w:uiPriority w:val="9"/>
    <w:unhideWhenUsed/>
    <w:qFormat/>
    <w:rsid w:val="00CB21ED"/>
    <w:pPr>
      <w:widowControl w:val="0"/>
      <w:autoSpaceDE w:val="0"/>
      <w:autoSpaceDN w:val="0"/>
      <w:spacing w:before="1" w:after="0" w:line="240" w:lineRule="auto"/>
      <w:ind w:left="100"/>
      <w:outlineLvl w:val="1"/>
    </w:pPr>
    <w:rPr>
      <w:rFonts w:ascii="Times New Roman" w:eastAsia="Times New Roman" w:hAnsi="Times New Roman" w:cs="Times New Roman"/>
      <w:b/>
      <w:bCs/>
      <w:kern w:val="0"/>
      <w:sz w:val="28"/>
      <w:szCs w:val="28"/>
      <w:lang w:val="en-US"/>
      <w14:ligatures w14:val="none"/>
    </w:rPr>
  </w:style>
  <w:style w:type="paragraph" w:styleId="Heading3">
    <w:name w:val="heading 3"/>
    <w:basedOn w:val="Normal"/>
    <w:link w:val="Heading3Char"/>
    <w:uiPriority w:val="9"/>
    <w:unhideWhenUsed/>
    <w:qFormat/>
    <w:rsid w:val="00CB21ED"/>
    <w:pPr>
      <w:widowControl w:val="0"/>
      <w:autoSpaceDE w:val="0"/>
      <w:autoSpaceDN w:val="0"/>
      <w:spacing w:after="0" w:line="240" w:lineRule="auto"/>
      <w:ind w:left="100"/>
      <w:outlineLvl w:val="2"/>
    </w:pPr>
    <w:rPr>
      <w:rFonts w:ascii="Times New Roman" w:eastAsia="Times New Roman" w:hAnsi="Times New Roman" w:cs="Times New Roman"/>
      <w:b/>
      <w:bCs/>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CD9"/>
    <w:pPr>
      <w:ind w:left="720"/>
      <w:contextualSpacing/>
    </w:pPr>
  </w:style>
  <w:style w:type="paragraph" w:customStyle="1" w:styleId="pb-2">
    <w:name w:val="pb-2"/>
    <w:basedOn w:val="Normal"/>
    <w:rsid w:val="00314CD9"/>
    <w:pPr>
      <w:spacing w:before="100" w:beforeAutospacing="1" w:after="100" w:afterAutospacing="1" w:line="240" w:lineRule="auto"/>
    </w:pPr>
    <w:rPr>
      <w:rFonts w:ascii="Times New Roman" w:eastAsia="Times New Roman" w:hAnsi="Times New Roman" w:cs="Times New Roman"/>
      <w:kern w:val="0"/>
      <w:sz w:val="24"/>
      <w:szCs w:val="24"/>
      <w:lang w:val="en-AU" w:eastAsia="en-AU"/>
      <w14:ligatures w14:val="none"/>
    </w:rPr>
  </w:style>
  <w:style w:type="character" w:styleId="Strong">
    <w:name w:val="Strong"/>
    <w:basedOn w:val="DefaultParagraphFont"/>
    <w:uiPriority w:val="22"/>
    <w:qFormat/>
    <w:rsid w:val="00314CD9"/>
    <w:rPr>
      <w:b/>
      <w:bCs/>
    </w:rPr>
  </w:style>
  <w:style w:type="character" w:customStyle="1" w:styleId="issue-underline">
    <w:name w:val="issue-underline"/>
    <w:basedOn w:val="DefaultParagraphFont"/>
    <w:rsid w:val="00314CD9"/>
  </w:style>
  <w:style w:type="paragraph" w:styleId="Header">
    <w:name w:val="header"/>
    <w:basedOn w:val="Normal"/>
    <w:link w:val="HeaderChar"/>
    <w:uiPriority w:val="99"/>
    <w:unhideWhenUsed/>
    <w:rsid w:val="00314C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CD9"/>
    <w:rPr>
      <w:lang w:val="en-GB"/>
    </w:rPr>
  </w:style>
  <w:style w:type="paragraph" w:styleId="Footer">
    <w:name w:val="footer"/>
    <w:basedOn w:val="Normal"/>
    <w:link w:val="FooterChar"/>
    <w:uiPriority w:val="99"/>
    <w:unhideWhenUsed/>
    <w:rsid w:val="00314C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CD9"/>
    <w:rPr>
      <w:lang w:val="en-GB"/>
    </w:rPr>
  </w:style>
  <w:style w:type="paragraph" w:styleId="Revision">
    <w:name w:val="Revision"/>
    <w:hidden/>
    <w:uiPriority w:val="99"/>
    <w:semiHidden/>
    <w:rsid w:val="008E5D15"/>
    <w:pPr>
      <w:spacing w:after="0" w:line="240" w:lineRule="auto"/>
    </w:pPr>
    <w:rPr>
      <w:lang w:val="en-GB"/>
    </w:rPr>
  </w:style>
  <w:style w:type="paragraph" w:styleId="Bibliography">
    <w:name w:val="Bibliography"/>
    <w:basedOn w:val="Normal"/>
    <w:next w:val="Normal"/>
    <w:uiPriority w:val="37"/>
    <w:unhideWhenUsed/>
    <w:rsid w:val="00047CA5"/>
    <w:pPr>
      <w:spacing w:after="0" w:line="480" w:lineRule="auto"/>
      <w:ind w:left="720" w:hanging="720"/>
    </w:pPr>
  </w:style>
  <w:style w:type="paragraph" w:styleId="NormalWeb">
    <w:name w:val="Normal (Web)"/>
    <w:basedOn w:val="Normal"/>
    <w:uiPriority w:val="99"/>
    <w:semiHidden/>
    <w:unhideWhenUsed/>
    <w:rsid w:val="00A127C3"/>
    <w:pPr>
      <w:spacing w:before="100" w:beforeAutospacing="1" w:after="100" w:afterAutospacing="1" w:line="240" w:lineRule="auto"/>
    </w:pPr>
    <w:rPr>
      <w:rFonts w:ascii="Times New Roman" w:eastAsia="Times New Roman" w:hAnsi="Times New Roman" w:cs="Times New Roman"/>
      <w:kern w:val="0"/>
      <w:sz w:val="24"/>
      <w:szCs w:val="24"/>
      <w:lang w:val="en-AU" w:eastAsia="en-AU"/>
      <w14:ligatures w14:val="none"/>
    </w:rPr>
  </w:style>
  <w:style w:type="character" w:customStyle="1" w:styleId="Heading1Char">
    <w:name w:val="Heading 1 Char"/>
    <w:basedOn w:val="DefaultParagraphFont"/>
    <w:link w:val="Heading1"/>
    <w:uiPriority w:val="9"/>
    <w:rsid w:val="00CB21ED"/>
    <w:rPr>
      <w:rFonts w:ascii="Times New Roman" w:eastAsia="Times New Roman" w:hAnsi="Times New Roman" w:cs="Times New Roman"/>
      <w:b/>
      <w:bCs/>
      <w:kern w:val="0"/>
      <w:sz w:val="28"/>
      <w:szCs w:val="28"/>
      <w:lang w:val="en-US"/>
      <w14:ligatures w14:val="none"/>
    </w:rPr>
  </w:style>
  <w:style w:type="character" w:customStyle="1" w:styleId="Heading2Char">
    <w:name w:val="Heading 2 Char"/>
    <w:basedOn w:val="DefaultParagraphFont"/>
    <w:link w:val="Heading2"/>
    <w:uiPriority w:val="9"/>
    <w:rsid w:val="00CB21ED"/>
    <w:rPr>
      <w:rFonts w:ascii="Times New Roman" w:eastAsia="Times New Roman" w:hAnsi="Times New Roman" w:cs="Times New Roman"/>
      <w:b/>
      <w:bCs/>
      <w:kern w:val="0"/>
      <w:sz w:val="28"/>
      <w:szCs w:val="28"/>
      <w:lang w:val="en-US"/>
      <w14:ligatures w14:val="none"/>
    </w:rPr>
  </w:style>
  <w:style w:type="character" w:customStyle="1" w:styleId="Heading3Char">
    <w:name w:val="Heading 3 Char"/>
    <w:basedOn w:val="DefaultParagraphFont"/>
    <w:link w:val="Heading3"/>
    <w:uiPriority w:val="9"/>
    <w:rsid w:val="00CB21ED"/>
    <w:rPr>
      <w:rFonts w:ascii="Times New Roman" w:eastAsia="Times New Roman" w:hAnsi="Times New Roman" w:cs="Times New Roman"/>
      <w:b/>
      <w:bCs/>
      <w:kern w:val="0"/>
      <w:lang w:val="en-US"/>
      <w14:ligatures w14:val="none"/>
    </w:rPr>
  </w:style>
  <w:style w:type="paragraph" w:styleId="BodyText">
    <w:name w:val="Body Text"/>
    <w:basedOn w:val="Normal"/>
    <w:link w:val="BodyTextChar"/>
    <w:uiPriority w:val="1"/>
    <w:qFormat/>
    <w:rsid w:val="00CB21ED"/>
    <w:pPr>
      <w:widowControl w:val="0"/>
      <w:autoSpaceDE w:val="0"/>
      <w:autoSpaceDN w:val="0"/>
      <w:spacing w:after="0" w:line="240" w:lineRule="auto"/>
    </w:pPr>
    <w:rPr>
      <w:rFonts w:ascii="Times New Roman" w:eastAsia="Times New Roman" w:hAnsi="Times New Roman" w:cs="Times New Roman"/>
      <w:kern w:val="0"/>
      <w:lang w:val="en-US"/>
      <w14:ligatures w14:val="none"/>
    </w:rPr>
  </w:style>
  <w:style w:type="character" w:customStyle="1" w:styleId="BodyTextChar">
    <w:name w:val="Body Text Char"/>
    <w:basedOn w:val="DefaultParagraphFont"/>
    <w:link w:val="BodyText"/>
    <w:uiPriority w:val="1"/>
    <w:rsid w:val="00CB21ED"/>
    <w:rPr>
      <w:rFonts w:ascii="Times New Roman" w:eastAsia="Times New Roman" w:hAnsi="Times New Roman" w:cs="Times New Roman"/>
      <w:kern w:val="0"/>
      <w:lang w:val="en-US"/>
      <w14:ligatures w14:val="none"/>
    </w:rPr>
  </w:style>
  <w:style w:type="paragraph" w:customStyle="1" w:styleId="TableParagraph">
    <w:name w:val="Table Paragraph"/>
    <w:basedOn w:val="Normal"/>
    <w:uiPriority w:val="1"/>
    <w:qFormat/>
    <w:rsid w:val="00BA74CF"/>
    <w:pPr>
      <w:widowControl w:val="0"/>
      <w:autoSpaceDE w:val="0"/>
      <w:autoSpaceDN w:val="0"/>
      <w:spacing w:after="0"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833795">
      <w:bodyDiv w:val="1"/>
      <w:marLeft w:val="0"/>
      <w:marRight w:val="0"/>
      <w:marTop w:val="0"/>
      <w:marBottom w:val="0"/>
      <w:divBdr>
        <w:top w:val="none" w:sz="0" w:space="0" w:color="auto"/>
        <w:left w:val="none" w:sz="0" w:space="0" w:color="auto"/>
        <w:bottom w:val="none" w:sz="0" w:space="0" w:color="auto"/>
        <w:right w:val="none" w:sz="0" w:space="0" w:color="auto"/>
      </w:divBdr>
    </w:div>
    <w:div w:id="124965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3DBE6-2E2A-4AE5-8955-5F7AF87EE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Flint</dc:creator>
  <cp:keywords/>
  <dc:description/>
  <cp:lastModifiedBy>Kirsty Flint</cp:lastModifiedBy>
  <cp:revision>2</cp:revision>
  <dcterms:created xsi:type="dcterms:W3CDTF">2024-02-11T06:25:00Z</dcterms:created>
  <dcterms:modified xsi:type="dcterms:W3CDTF">2024-02-11T06:25:00Z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id="V1aeGS7y"/&gt;&lt;style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