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B72" w:rsidRDefault="00B53B72" w:rsidP="00B53B72">
      <w:pPr>
        <w:spacing w:after="120" w:line="360" w:lineRule="auto"/>
        <w:jc w:val="both"/>
        <w:outlineLvl w:val="0"/>
        <w:rPr>
          <w:b/>
        </w:rPr>
      </w:pPr>
      <w:bookmarkStart w:id="0" w:name="_GoBack"/>
      <w:bookmarkEnd w:id="0"/>
      <w:r>
        <w:rPr>
          <w:b/>
        </w:rPr>
        <w:t>Do patents impede the provision of genetic tests in Australia?</w:t>
      </w:r>
    </w:p>
    <w:p w:rsidR="00D65D4E" w:rsidRDefault="00D65D4E" w:rsidP="00BE662C">
      <w:pPr>
        <w:spacing w:after="120" w:line="360" w:lineRule="auto"/>
        <w:jc w:val="both"/>
        <w:rPr>
          <w:b/>
        </w:rPr>
      </w:pPr>
      <w:r>
        <w:rPr>
          <w:b/>
        </w:rPr>
        <w:t>Dianne Nicol and John Liddicoat</w:t>
      </w:r>
    </w:p>
    <w:p w:rsidR="00D65D4E" w:rsidRDefault="00D65D4E" w:rsidP="00BE662C">
      <w:pPr>
        <w:spacing w:after="120" w:line="360" w:lineRule="auto"/>
        <w:jc w:val="both"/>
        <w:rPr>
          <w:b/>
        </w:rPr>
      </w:pPr>
      <w:r>
        <w:rPr>
          <w:b/>
        </w:rPr>
        <w:t>Australian Health Review</w:t>
      </w:r>
    </w:p>
    <w:p w:rsidR="00D65D4E" w:rsidRDefault="00D65D4E" w:rsidP="00BE662C">
      <w:pPr>
        <w:spacing w:after="120" w:line="360" w:lineRule="auto"/>
        <w:jc w:val="both"/>
        <w:rPr>
          <w:b/>
        </w:rPr>
      </w:pPr>
    </w:p>
    <w:p w:rsidR="00C360DD" w:rsidRDefault="00C360DD" w:rsidP="00BE662C">
      <w:pPr>
        <w:spacing w:after="120" w:line="360" w:lineRule="auto"/>
        <w:jc w:val="both"/>
        <w:rPr>
          <w:b/>
        </w:rPr>
      </w:pPr>
      <w:r>
        <w:rPr>
          <w:b/>
        </w:rPr>
        <w:t>Abstract</w:t>
      </w:r>
    </w:p>
    <w:p w:rsidR="00376CFD" w:rsidRDefault="00376CFD" w:rsidP="00BE662C">
      <w:pPr>
        <w:spacing w:after="120" w:line="360" w:lineRule="auto"/>
        <w:jc w:val="both"/>
      </w:pPr>
      <w:r>
        <w:t xml:space="preserve">Objective: </w:t>
      </w:r>
      <w:r w:rsidR="007D6D09">
        <w:t>Health policy and l</w:t>
      </w:r>
      <w:r w:rsidR="005C6071" w:rsidRPr="00AD22A1">
        <w:t xml:space="preserve">aw reform agencies lack </w:t>
      </w:r>
      <w:r w:rsidR="005C6071">
        <w:t>a sound evidence-</w:t>
      </w:r>
      <w:r w:rsidR="005C6071" w:rsidRPr="00AD22A1">
        <w:t xml:space="preserve">base of the impacts of patents </w:t>
      </w:r>
      <w:r w:rsidR="005C6071">
        <w:t xml:space="preserve">on innovation and access to healthcare </w:t>
      </w:r>
      <w:r w:rsidR="005C6071" w:rsidRPr="00AD22A1">
        <w:t xml:space="preserve">to assist them in </w:t>
      </w:r>
      <w:r w:rsidR="005C6071">
        <w:t xml:space="preserve">their deliberations. </w:t>
      </w:r>
      <w:r w:rsidR="00EF56A6" w:rsidRPr="00AD22A1">
        <w:t xml:space="preserve">This paper reports the results of a survey of </w:t>
      </w:r>
      <w:r w:rsidR="00A11724">
        <w:t xml:space="preserve">managers </w:t>
      </w:r>
      <w:r w:rsidR="006B1807">
        <w:t>of</w:t>
      </w:r>
      <w:r w:rsidR="004E6E7B">
        <w:t xml:space="preserve"> </w:t>
      </w:r>
      <w:r w:rsidR="006B1807">
        <w:t>Australian genetic testing</w:t>
      </w:r>
      <w:r w:rsidR="006B1807" w:rsidRPr="00AD22A1">
        <w:t xml:space="preserve"> </w:t>
      </w:r>
      <w:r w:rsidR="006B1807">
        <w:t>laboratories</w:t>
      </w:r>
      <w:r w:rsidR="0048062E">
        <w:t xml:space="preserve"> that </w:t>
      </w:r>
      <w:r w:rsidR="005C6071">
        <w:t>ask</w:t>
      </w:r>
      <w:r w:rsidR="006877DF">
        <w:t>ed</w:t>
      </w:r>
      <w:r w:rsidR="00EF56A6" w:rsidRPr="00AD22A1">
        <w:t xml:space="preserve"> a series of questions relating to the tests they perform, whether they pay </w:t>
      </w:r>
      <w:r w:rsidR="006877DF">
        <w:t>to access patented inventions</w:t>
      </w:r>
      <w:r w:rsidR="006B1807">
        <w:t xml:space="preserve"> </w:t>
      </w:r>
      <w:r w:rsidR="00EF56A6" w:rsidRPr="00AD22A1">
        <w:t xml:space="preserve">and whether they have received notifications from patent holders about patents associated with particular tests. </w:t>
      </w:r>
    </w:p>
    <w:p w:rsidR="00376CFD" w:rsidRDefault="00376CFD" w:rsidP="00BE662C">
      <w:pPr>
        <w:spacing w:after="120" w:line="360" w:lineRule="auto"/>
        <w:jc w:val="both"/>
      </w:pPr>
      <w:r>
        <w:t xml:space="preserve">Results: </w:t>
      </w:r>
      <w:r w:rsidR="00E27EAF">
        <w:t>S</w:t>
      </w:r>
      <w:r w:rsidR="00C360DD">
        <w:t xml:space="preserve">ome diagnostics facilities are exposed to patent costs, </w:t>
      </w:r>
      <w:r w:rsidR="00E27EAF">
        <w:t xml:space="preserve">but they </w:t>
      </w:r>
      <w:r w:rsidR="0084036A">
        <w:t>are all located</w:t>
      </w:r>
      <w:r w:rsidR="00C360DD">
        <w:t xml:space="preserve"> in the private sector. No public hospitals </w:t>
      </w:r>
      <w:r w:rsidR="004841B9">
        <w:t xml:space="preserve">reported </w:t>
      </w:r>
      <w:r w:rsidR="00C360DD">
        <w:t>pay</w:t>
      </w:r>
      <w:r w:rsidR="004841B9">
        <w:t>ing</w:t>
      </w:r>
      <w:r w:rsidR="00C360DD">
        <w:t xml:space="preserve"> licence fees or royalties beyond those included in the</w:t>
      </w:r>
      <w:r w:rsidR="004841B9">
        <w:t xml:space="preserve"> price of commercial test kits.</w:t>
      </w:r>
      <w:r w:rsidR="00C360DD">
        <w:t xml:space="preserve"> </w:t>
      </w:r>
      <w:r w:rsidR="004841B9">
        <w:t>Some</w:t>
      </w:r>
      <w:r w:rsidR="004E6E7B">
        <w:t xml:space="preserve"> respondents </w:t>
      </w:r>
      <w:r w:rsidR="004841B9">
        <w:t xml:space="preserve">reported </w:t>
      </w:r>
      <w:r w:rsidR="00F469AB">
        <w:t xml:space="preserve">having </w:t>
      </w:r>
      <w:r w:rsidR="004E6E7B">
        <w:t>receiv</w:t>
      </w:r>
      <w:r w:rsidR="00F469AB">
        <w:t>ed enforcement</w:t>
      </w:r>
      <w:r w:rsidR="004E6E7B">
        <w:t xml:space="preserve"> noti</w:t>
      </w:r>
      <w:r w:rsidR="00F469AB">
        <w:t>ces</w:t>
      </w:r>
      <w:r w:rsidR="004E6E7B">
        <w:t xml:space="preserve"> from patent holders, </w:t>
      </w:r>
      <w:r w:rsidR="004841B9">
        <w:t>but</w:t>
      </w:r>
      <w:r w:rsidR="004E6E7B">
        <w:t xml:space="preserve"> almost all related to the widely </w:t>
      </w:r>
      <w:r w:rsidR="00F469AB">
        <w:t>known</w:t>
      </w:r>
      <w:r w:rsidR="004E6E7B">
        <w:t xml:space="preserve"> breast cancer-associated patents. </w:t>
      </w:r>
      <w:r w:rsidR="00C360DD">
        <w:t>Respondents</w:t>
      </w:r>
      <w:r w:rsidR="00EF56A6" w:rsidRPr="00AD22A1">
        <w:t xml:space="preserve"> were also asked for their views on the most effective mechanisms to protect their ability to provide genetic tests </w:t>
      </w:r>
      <w:r w:rsidR="00A11724">
        <w:t>now and in the future</w:t>
      </w:r>
      <w:r w:rsidR="00EF56A6" w:rsidRPr="00AD22A1">
        <w:t xml:space="preserve">. </w:t>
      </w:r>
      <w:r w:rsidR="004E6E7B">
        <w:t>Going to the media, paying licence fees, ignoring patent rights and relying on the government to take action were widely seen as most effective. Litigation and applications for compulsory licences were seen as some of the least effective mech</w:t>
      </w:r>
      <w:r w:rsidR="0084036A">
        <w:t xml:space="preserve">anisms. </w:t>
      </w:r>
    </w:p>
    <w:p w:rsidR="00602866" w:rsidRDefault="00376CFD" w:rsidP="00BE662C">
      <w:pPr>
        <w:spacing w:after="120" w:line="360" w:lineRule="auto"/>
        <w:jc w:val="both"/>
      </w:pPr>
      <w:r>
        <w:t xml:space="preserve">Conclusion: </w:t>
      </w:r>
      <w:r w:rsidR="0084036A">
        <w:t xml:space="preserve">These results provide </w:t>
      </w:r>
      <w:r w:rsidR="0048062E">
        <w:t>an evidence-base</w:t>
      </w:r>
      <w:r>
        <w:t xml:space="preserve"> for</w:t>
      </w:r>
      <w:r w:rsidR="000B322C">
        <w:t xml:space="preserve"> development of</w:t>
      </w:r>
      <w:r>
        <w:t xml:space="preserve"> health policy</w:t>
      </w:r>
      <w:r w:rsidR="000B322C">
        <w:t xml:space="preserve"> and </w:t>
      </w:r>
      <w:r w:rsidR="004E6E7B">
        <w:t xml:space="preserve">law reform. </w:t>
      </w:r>
    </w:p>
    <w:p w:rsidR="00AB60CE" w:rsidRDefault="00AB60CE" w:rsidP="00BE662C">
      <w:pPr>
        <w:spacing w:after="120" w:line="360" w:lineRule="auto"/>
        <w:jc w:val="both"/>
        <w:rPr>
          <w:rFonts w:eastAsia="Times New Roman"/>
          <w:b/>
        </w:rPr>
      </w:pPr>
    </w:p>
    <w:p w:rsidR="005C6071" w:rsidRDefault="002C1B38" w:rsidP="00BE662C">
      <w:pPr>
        <w:spacing w:after="120" w:line="360" w:lineRule="auto"/>
        <w:jc w:val="both"/>
        <w:rPr>
          <w:rFonts w:eastAsia="Times New Roman"/>
          <w:b/>
        </w:rPr>
      </w:pPr>
      <w:r>
        <w:rPr>
          <w:rFonts w:eastAsia="Times New Roman"/>
          <w:b/>
        </w:rPr>
        <w:t>Key question s</w:t>
      </w:r>
      <w:r w:rsidR="005C6071">
        <w:rPr>
          <w:rFonts w:eastAsia="Times New Roman"/>
          <w:b/>
        </w:rPr>
        <w:t>ummary</w:t>
      </w:r>
    </w:p>
    <w:p w:rsidR="002C1B38" w:rsidRDefault="002C1B38" w:rsidP="00BE662C">
      <w:pPr>
        <w:spacing w:after="120" w:line="360" w:lineRule="auto"/>
        <w:jc w:val="both"/>
      </w:pPr>
      <w:r>
        <w:t>1. What is known about the topic?</w:t>
      </w:r>
    </w:p>
    <w:p w:rsidR="005C6071" w:rsidRDefault="005C6071" w:rsidP="00BE662C">
      <w:pPr>
        <w:spacing w:after="120" w:line="360" w:lineRule="auto"/>
        <w:jc w:val="both"/>
      </w:pPr>
      <w:r>
        <w:lastRenderedPageBreak/>
        <w:t xml:space="preserve">The impact of patents on the delivery of genetic testing services remains unclear in Australia. </w:t>
      </w:r>
    </w:p>
    <w:p w:rsidR="002C1B38" w:rsidRDefault="002C1B38" w:rsidP="002C1B38">
      <w:pPr>
        <w:keepNext/>
        <w:spacing w:after="120" w:line="360" w:lineRule="auto"/>
        <w:jc w:val="both"/>
      </w:pPr>
      <w:r>
        <w:t>2. What does this paper add?</w:t>
      </w:r>
    </w:p>
    <w:p w:rsidR="005C6071" w:rsidRDefault="005C6071" w:rsidP="00BE662C">
      <w:pPr>
        <w:spacing w:after="120" w:line="360" w:lineRule="auto"/>
        <w:jc w:val="both"/>
      </w:pPr>
      <w:r>
        <w:t>Th</w:t>
      </w:r>
      <w:r w:rsidR="002C1B38">
        <w:t>e</w:t>
      </w:r>
      <w:r>
        <w:t xml:space="preserve"> survey </w:t>
      </w:r>
      <w:r w:rsidR="002C1B38">
        <w:t xml:space="preserve">reported in this paper </w:t>
      </w:r>
      <w:r>
        <w:t xml:space="preserve">suggests that, aside from well-known enforcement actions relating to the BRCA patents, there is little evidence that providers of genetic testing services are being exposed to aggressive patent enforcement practices.  </w:t>
      </w:r>
    </w:p>
    <w:p w:rsidR="002C1B38" w:rsidRDefault="002C1B38" w:rsidP="00E6494E">
      <w:pPr>
        <w:spacing w:after="120" w:line="360" w:lineRule="auto"/>
        <w:jc w:val="both"/>
      </w:pPr>
      <w:r>
        <w:t>3. What are the implications for practitioners?</w:t>
      </w:r>
    </w:p>
    <w:p w:rsidR="005C6071" w:rsidRPr="005C6071" w:rsidRDefault="005C6071" w:rsidP="00BE662C">
      <w:pPr>
        <w:spacing w:after="120" w:line="360" w:lineRule="auto"/>
        <w:jc w:val="both"/>
      </w:pPr>
      <w:r w:rsidRPr="005C6071">
        <w:t xml:space="preserve">While patent enforcement actions </w:t>
      </w:r>
      <w:r w:rsidRPr="005C6071">
        <w:rPr>
          <w:rFonts w:eastAsia="Times New Roman"/>
        </w:rPr>
        <w:t xml:space="preserve">may increase in the future, a range of strategies </w:t>
      </w:r>
      <w:r>
        <w:rPr>
          <w:rFonts w:eastAsia="Times New Roman"/>
        </w:rPr>
        <w:t xml:space="preserve">are </w:t>
      </w:r>
      <w:r w:rsidRPr="005C6071">
        <w:rPr>
          <w:rFonts w:eastAsia="Times New Roman"/>
        </w:rPr>
        <w:t xml:space="preserve">available to </w:t>
      </w:r>
      <w:r>
        <w:rPr>
          <w:rFonts w:eastAsia="Times New Roman"/>
        </w:rPr>
        <w:t>providers of testing services to protect them against adverse co</w:t>
      </w:r>
      <w:r w:rsidR="00E26EDD">
        <w:rPr>
          <w:rFonts w:eastAsia="Times New Roman"/>
        </w:rPr>
        <w:t>nsequences of such actions. T</w:t>
      </w:r>
      <w:r>
        <w:rPr>
          <w:rFonts w:eastAsia="Times New Roman"/>
        </w:rPr>
        <w:t xml:space="preserve">here are ongoing law reform activities aimed at improving these strategies. </w:t>
      </w:r>
    </w:p>
    <w:p w:rsidR="005C6071" w:rsidRDefault="005C6071" w:rsidP="00BE662C">
      <w:pPr>
        <w:tabs>
          <w:tab w:val="clear" w:pos="0"/>
        </w:tabs>
        <w:spacing w:after="120" w:line="360" w:lineRule="auto"/>
        <w:rPr>
          <w:b/>
        </w:rPr>
      </w:pPr>
      <w:r>
        <w:rPr>
          <w:b/>
        </w:rPr>
        <w:br w:type="page"/>
      </w:r>
    </w:p>
    <w:p w:rsidR="00D003ED" w:rsidRPr="00AD22A1" w:rsidRDefault="00D003ED" w:rsidP="00BE662C">
      <w:pPr>
        <w:spacing w:after="120" w:line="360" w:lineRule="auto"/>
        <w:jc w:val="both"/>
        <w:outlineLvl w:val="0"/>
        <w:rPr>
          <w:b/>
        </w:rPr>
      </w:pPr>
      <w:r w:rsidRPr="00AD22A1">
        <w:rPr>
          <w:b/>
        </w:rPr>
        <w:lastRenderedPageBreak/>
        <w:t>Introduction</w:t>
      </w:r>
    </w:p>
    <w:p w:rsidR="00501D49" w:rsidRPr="00420B1B" w:rsidRDefault="00EF56A6" w:rsidP="00BE662C">
      <w:pPr>
        <w:spacing w:after="120" w:line="360" w:lineRule="auto"/>
        <w:jc w:val="both"/>
        <w:rPr>
          <w:vertAlign w:val="superscript"/>
        </w:rPr>
      </w:pPr>
      <w:r w:rsidRPr="00AD22A1">
        <w:t xml:space="preserve">The past </w:t>
      </w:r>
      <w:r w:rsidR="00D003ED" w:rsidRPr="00AD22A1">
        <w:t>fifteen years have</w:t>
      </w:r>
      <w:r w:rsidRPr="00AD22A1">
        <w:t xml:space="preserve"> seen rapid escalation in filing of patents </w:t>
      </w:r>
      <w:r w:rsidR="004D184D" w:rsidRPr="00AD22A1">
        <w:t>claiming rights to</w:t>
      </w:r>
      <w:r w:rsidRPr="00AD22A1">
        <w:t xml:space="preserve"> gene sequences </w:t>
      </w:r>
      <w:r w:rsidR="0048062E">
        <w:t xml:space="preserve">and other aspects </w:t>
      </w:r>
      <w:r w:rsidR="006877DF">
        <w:t>of diagnostic test</w:t>
      </w:r>
      <w:r w:rsidR="0048062E">
        <w:t>ing</w:t>
      </w:r>
      <w:r w:rsidR="006877DF">
        <w:t xml:space="preserve"> associated</w:t>
      </w:r>
      <w:r w:rsidR="007417AA" w:rsidRPr="00AD22A1">
        <w:t xml:space="preserve"> with</w:t>
      </w:r>
      <w:r w:rsidRPr="00AD22A1">
        <w:t xml:space="preserve"> disease</w:t>
      </w:r>
      <w:r w:rsidR="00D003ED" w:rsidRPr="00AD22A1">
        <w:t>. There is ongoing debate as to the precise quantum o</w:t>
      </w:r>
      <w:r w:rsidR="004841B9">
        <w:t>f these so-called gene patents</w:t>
      </w:r>
      <w:r w:rsidR="00501D49" w:rsidRPr="00AD22A1">
        <w:t>,</w:t>
      </w:r>
      <w:r w:rsidR="004841B9" w:rsidRPr="004841B9">
        <w:rPr>
          <w:vertAlign w:val="superscript"/>
        </w:rPr>
        <w:t>1,2</w:t>
      </w:r>
      <w:r w:rsidR="00D003ED" w:rsidRPr="00AD22A1">
        <w:t xml:space="preserve"> and the extent to which they </w:t>
      </w:r>
      <w:r w:rsidR="00870385" w:rsidRPr="00AD22A1">
        <w:t>block, delay or increase the cost of genetic testing services.</w:t>
      </w:r>
      <w:r w:rsidR="004841B9" w:rsidRPr="004841B9">
        <w:rPr>
          <w:vertAlign w:val="superscript"/>
        </w:rPr>
        <w:t>3</w:t>
      </w:r>
      <w:r w:rsidR="004D184D" w:rsidRPr="00AD22A1">
        <w:t xml:space="preserve"> </w:t>
      </w:r>
      <w:r w:rsidR="00870385" w:rsidRPr="00AD22A1">
        <w:t>E</w:t>
      </w:r>
      <w:r w:rsidR="00AF7359" w:rsidRPr="00AD22A1">
        <w:t xml:space="preserve">nforcement actions by Myriad Genetics, Inc relating to its BRCA 1 and BRCA 2 patents have been the singular focus </w:t>
      </w:r>
      <w:r w:rsidR="006877DF">
        <w:t>of</w:t>
      </w:r>
      <w:r w:rsidR="006877DF" w:rsidRPr="00AD22A1">
        <w:t xml:space="preserve"> </w:t>
      </w:r>
      <w:r w:rsidR="00AF7359" w:rsidRPr="00AD22A1">
        <w:t>concern for many years.</w:t>
      </w:r>
      <w:r w:rsidR="00420B1B">
        <w:rPr>
          <w:vertAlign w:val="superscript"/>
        </w:rPr>
        <w:t>4</w:t>
      </w:r>
      <w:r w:rsidR="00AF7359" w:rsidRPr="00AD22A1">
        <w:t xml:space="preserve"> </w:t>
      </w:r>
      <w:r w:rsidR="00A11724">
        <w:t>S</w:t>
      </w:r>
      <w:r w:rsidR="007417AA" w:rsidRPr="00AD22A1">
        <w:t>tudies in the US</w:t>
      </w:r>
      <w:r w:rsidR="007574F3">
        <w:t>A</w:t>
      </w:r>
      <w:r w:rsidR="007417AA" w:rsidRPr="00AD22A1">
        <w:t xml:space="preserve"> in the early 2000s suggested that enforcement of patents </w:t>
      </w:r>
      <w:r w:rsidR="00AF7359" w:rsidRPr="00AD22A1">
        <w:t>relat</w:t>
      </w:r>
      <w:r w:rsidR="006877DF">
        <w:t>ed</w:t>
      </w:r>
      <w:r w:rsidR="00AF7359" w:rsidRPr="00AD22A1">
        <w:t xml:space="preserve"> to a diversity of genetic diseases </w:t>
      </w:r>
      <w:r w:rsidR="007417AA" w:rsidRPr="00AD22A1">
        <w:t>was having a negative impact on the provision of genetic testing services in that country</w:t>
      </w:r>
      <w:r w:rsidR="006877DF">
        <w:t>;</w:t>
      </w:r>
      <w:r w:rsidR="00420B1B">
        <w:rPr>
          <w:vertAlign w:val="superscript"/>
        </w:rPr>
        <w:t>5,6</w:t>
      </w:r>
      <w:r w:rsidR="007417AA" w:rsidRPr="00AD22A1">
        <w:t xml:space="preserve"> </w:t>
      </w:r>
      <w:r w:rsidR="00A11724">
        <w:t>later s</w:t>
      </w:r>
      <w:r w:rsidR="002021A9">
        <w:t xml:space="preserve">tudies </w:t>
      </w:r>
      <w:r w:rsidR="005C6071">
        <w:t>suggest</w:t>
      </w:r>
      <w:r w:rsidR="002021A9">
        <w:t xml:space="preserve"> this </w:t>
      </w:r>
      <w:r w:rsidR="00A11724">
        <w:t>problem</w:t>
      </w:r>
      <w:r w:rsidR="002021A9">
        <w:t xml:space="preserve"> </w:t>
      </w:r>
      <w:r w:rsidR="00D47AD0">
        <w:t>is</w:t>
      </w:r>
      <w:r w:rsidR="002021A9">
        <w:t xml:space="preserve"> continuing</w:t>
      </w:r>
      <w:r w:rsidR="00A11724">
        <w:t>.</w:t>
      </w:r>
      <w:r w:rsidR="00420B1B">
        <w:rPr>
          <w:vertAlign w:val="superscript"/>
        </w:rPr>
        <w:t>7</w:t>
      </w:r>
      <w:r w:rsidR="00A11724">
        <w:t xml:space="preserve"> </w:t>
      </w:r>
      <w:r w:rsidR="00B25137">
        <w:t xml:space="preserve">This </w:t>
      </w:r>
      <w:r w:rsidR="00420B1B">
        <w:t xml:space="preserve">remains an area of active </w:t>
      </w:r>
      <w:r w:rsidR="00320D11">
        <w:t xml:space="preserve">debate and </w:t>
      </w:r>
      <w:r w:rsidR="00420B1B">
        <w:t>consideration</w:t>
      </w:r>
      <w:r w:rsidR="00B25137">
        <w:t xml:space="preserve"> in that ju</w:t>
      </w:r>
      <w:r w:rsidR="007574F3">
        <w:t>ris</w:t>
      </w:r>
      <w:r w:rsidR="00B25137">
        <w:t>diction</w:t>
      </w:r>
      <w:r w:rsidR="00420B1B">
        <w:t>.</w:t>
      </w:r>
      <w:r w:rsidR="00320D11">
        <w:rPr>
          <w:vertAlign w:val="superscript"/>
        </w:rPr>
        <w:t>8</w:t>
      </w:r>
      <w:r w:rsidR="00420B1B">
        <w:t xml:space="preserve"> </w:t>
      </w:r>
      <w:r w:rsidR="00A11724">
        <w:t>S</w:t>
      </w:r>
      <w:r w:rsidR="007417AA" w:rsidRPr="00AD22A1">
        <w:t xml:space="preserve">tudies </w:t>
      </w:r>
      <w:r w:rsidR="00A11724">
        <w:t>in other countries</w:t>
      </w:r>
      <w:r w:rsidR="007417AA" w:rsidRPr="00AD22A1">
        <w:t xml:space="preserve"> </w:t>
      </w:r>
      <w:r w:rsidR="00AF7359" w:rsidRPr="00AD22A1">
        <w:t>suggest</w:t>
      </w:r>
      <w:r w:rsidR="007417AA" w:rsidRPr="00AD22A1">
        <w:t xml:space="preserve"> that </w:t>
      </w:r>
      <w:r w:rsidR="00582027">
        <w:t xml:space="preserve">patent </w:t>
      </w:r>
      <w:r w:rsidR="002021A9">
        <w:t>enforce</w:t>
      </w:r>
      <w:r w:rsidR="00114DDA">
        <w:t>ment against genetic testing laboratories</w:t>
      </w:r>
      <w:r w:rsidR="007417AA" w:rsidRPr="00AD22A1">
        <w:t xml:space="preserve"> </w:t>
      </w:r>
      <w:r w:rsidR="00870385" w:rsidRPr="00AD22A1">
        <w:t xml:space="preserve">is </w:t>
      </w:r>
      <w:r w:rsidR="005C6071">
        <w:t xml:space="preserve">of </w:t>
      </w:r>
      <w:r w:rsidR="007417AA" w:rsidRPr="00AD22A1">
        <w:t xml:space="preserve">less </w:t>
      </w:r>
      <w:r w:rsidR="005C6071">
        <w:t>immediate</w:t>
      </w:r>
      <w:r w:rsidR="00905734">
        <w:t xml:space="preserve"> </w:t>
      </w:r>
      <w:r w:rsidR="002408DF" w:rsidRPr="00AD22A1">
        <w:t>concern</w:t>
      </w:r>
      <w:r w:rsidR="00A11724">
        <w:t>.</w:t>
      </w:r>
      <w:r w:rsidR="00320D11" w:rsidRPr="00BE662C">
        <w:rPr>
          <w:vertAlign w:val="superscript"/>
        </w:rPr>
        <w:t>9,</w:t>
      </w:r>
      <w:r w:rsidR="00420B1B">
        <w:rPr>
          <w:vertAlign w:val="superscript"/>
        </w:rPr>
        <w:t>10</w:t>
      </w:r>
      <w:r w:rsidR="00320D11">
        <w:rPr>
          <w:vertAlign w:val="superscript"/>
        </w:rPr>
        <w:t>,11</w:t>
      </w:r>
      <w:r w:rsidR="007417AA" w:rsidRPr="00AD22A1">
        <w:t xml:space="preserve"> </w:t>
      </w:r>
      <w:r w:rsidR="00114DDA">
        <w:t>Nevertheless, i</w:t>
      </w:r>
      <w:r w:rsidR="00420B1B" w:rsidRPr="00AD22A1">
        <w:t>solated reports of enforcement actions by particular patent holders continue</w:t>
      </w:r>
      <w:r w:rsidR="00420B1B">
        <w:t>.</w:t>
      </w:r>
      <w:r w:rsidR="0048062E">
        <w:rPr>
          <w:vertAlign w:val="superscript"/>
        </w:rPr>
        <w:t>12</w:t>
      </w:r>
    </w:p>
    <w:p w:rsidR="004E2D1E" w:rsidRPr="00AD22A1" w:rsidRDefault="002408DF" w:rsidP="00BE662C">
      <w:pPr>
        <w:spacing w:after="120" w:line="360" w:lineRule="auto"/>
        <w:jc w:val="both"/>
      </w:pPr>
      <w:r w:rsidRPr="00AD22A1">
        <w:t>New technological developments including whole genome sequencing and multiplex testing are rapidly increasing the availability</w:t>
      </w:r>
      <w:r w:rsidR="00AF7359" w:rsidRPr="00AD22A1">
        <w:t xml:space="preserve"> and reducing the cost</w:t>
      </w:r>
      <w:r w:rsidRPr="00AD22A1">
        <w:t xml:space="preserve"> of genetic testing, </w:t>
      </w:r>
      <w:r w:rsidR="005C6071">
        <w:t>and increasing</w:t>
      </w:r>
      <w:r w:rsidR="00AF7359" w:rsidRPr="00AD22A1">
        <w:t xml:space="preserve"> </w:t>
      </w:r>
      <w:r w:rsidRPr="00AD22A1">
        <w:t>the number of disorders than can be tested at any one time</w:t>
      </w:r>
      <w:r w:rsidR="00AF7359" w:rsidRPr="00AD22A1">
        <w:t>.</w:t>
      </w:r>
      <w:r w:rsidR="0048062E">
        <w:rPr>
          <w:vertAlign w:val="superscript"/>
        </w:rPr>
        <w:t>13</w:t>
      </w:r>
      <w:r w:rsidR="0048062E" w:rsidRPr="00AD22A1">
        <w:t xml:space="preserve"> </w:t>
      </w:r>
      <w:r w:rsidR="00AF7359" w:rsidRPr="00AD22A1">
        <w:t>These developments have led to renewed concerns that</w:t>
      </w:r>
      <w:r w:rsidRPr="00AD22A1">
        <w:t xml:space="preserve"> </w:t>
      </w:r>
      <w:r w:rsidR="000326E6" w:rsidRPr="00AD22A1">
        <w:t xml:space="preserve">genetic testing laboratories could </w:t>
      </w:r>
      <w:r w:rsidR="005C6071">
        <w:t>face</w:t>
      </w:r>
      <w:r w:rsidR="000326E6" w:rsidRPr="00AD22A1">
        <w:t xml:space="preserve"> a</w:t>
      </w:r>
      <w:r w:rsidR="00A11724">
        <w:t>n imminent</w:t>
      </w:r>
      <w:r w:rsidR="000326E6" w:rsidRPr="00AD22A1">
        <w:t xml:space="preserve"> barrage of </w:t>
      </w:r>
      <w:r w:rsidRPr="00AD22A1">
        <w:t>patent enforcement actions</w:t>
      </w:r>
      <w:r w:rsidR="00931ABD" w:rsidRPr="00AD22A1">
        <w:t>.</w:t>
      </w:r>
      <w:r w:rsidR="0048062E">
        <w:rPr>
          <w:vertAlign w:val="superscript"/>
        </w:rPr>
        <w:t>14</w:t>
      </w:r>
      <w:r w:rsidR="00320D11">
        <w:rPr>
          <w:vertAlign w:val="superscript"/>
        </w:rPr>
        <w:t>,</w:t>
      </w:r>
      <w:r w:rsidR="0048062E">
        <w:rPr>
          <w:vertAlign w:val="superscript"/>
        </w:rPr>
        <w:t>15</w:t>
      </w:r>
      <w:r w:rsidR="0048062E" w:rsidRPr="00AD22A1">
        <w:t xml:space="preserve"> </w:t>
      </w:r>
      <w:r w:rsidR="00931ABD" w:rsidRPr="00AD22A1">
        <w:t>This, in turn, has caused</w:t>
      </w:r>
      <w:r w:rsidRPr="00AD22A1">
        <w:t xml:space="preserve"> renewed interest in cha</w:t>
      </w:r>
      <w:r w:rsidR="00931ABD" w:rsidRPr="00AD22A1">
        <w:t>llen</w:t>
      </w:r>
      <w:r w:rsidRPr="00AD22A1">
        <w:t xml:space="preserve">ging </w:t>
      </w:r>
      <w:r w:rsidR="00931ABD" w:rsidRPr="00AD22A1">
        <w:t xml:space="preserve">the validity of </w:t>
      </w:r>
      <w:r w:rsidRPr="00AD22A1">
        <w:t>gene patents in the courts,</w:t>
      </w:r>
      <w:r w:rsidR="00420B1B">
        <w:rPr>
          <w:vertAlign w:val="superscript"/>
        </w:rPr>
        <w:t>16</w:t>
      </w:r>
      <w:r w:rsidRPr="00AD22A1">
        <w:t xml:space="preserve"> legislating to exclude </w:t>
      </w:r>
      <w:r w:rsidR="00931ABD" w:rsidRPr="00AD22A1">
        <w:t>genes from patenting</w:t>
      </w:r>
      <w:r w:rsidR="00501D49" w:rsidRPr="00AD22A1">
        <w:t>,</w:t>
      </w:r>
      <w:r w:rsidR="00420B1B">
        <w:rPr>
          <w:vertAlign w:val="superscript"/>
        </w:rPr>
        <w:t>17,18,19</w:t>
      </w:r>
      <w:r w:rsidR="00501D49" w:rsidRPr="00AD22A1">
        <w:t xml:space="preserve"> and </w:t>
      </w:r>
      <w:r w:rsidR="00905734">
        <w:t>exploring</w:t>
      </w:r>
      <w:r w:rsidR="00501D49" w:rsidRPr="00AD22A1">
        <w:t xml:space="preserve"> other strategies to ensure that genetic testing r</w:t>
      </w:r>
      <w:r w:rsidR="00420B1B">
        <w:t>emains accessible and affordable</w:t>
      </w:r>
      <w:r w:rsidR="00931ABD" w:rsidRPr="00AD22A1">
        <w:t>.</w:t>
      </w:r>
      <w:r w:rsidR="00420B1B">
        <w:rPr>
          <w:vertAlign w:val="superscript"/>
        </w:rPr>
        <w:t>20</w:t>
      </w:r>
      <w:r w:rsidR="00931ABD" w:rsidRPr="00AD22A1">
        <w:t xml:space="preserve"> </w:t>
      </w:r>
    </w:p>
    <w:p w:rsidR="000326E6" w:rsidRPr="00114DDA" w:rsidRDefault="004E2D1E" w:rsidP="00BE662C">
      <w:pPr>
        <w:spacing w:after="120" w:line="360" w:lineRule="auto"/>
        <w:jc w:val="both"/>
      </w:pPr>
      <w:r w:rsidRPr="00AD22A1">
        <w:t>The</w:t>
      </w:r>
      <w:r w:rsidR="00931ABD" w:rsidRPr="00AD22A1">
        <w:t xml:space="preserve"> scale of the purported </w:t>
      </w:r>
      <w:r w:rsidR="008C24C1">
        <w:t>‘</w:t>
      </w:r>
      <w:r w:rsidR="00931ABD" w:rsidRPr="00AD22A1">
        <w:t>gene patent</w:t>
      </w:r>
      <w:r w:rsidR="008C24C1">
        <w:t>’</w:t>
      </w:r>
      <w:r w:rsidR="00931ABD" w:rsidRPr="00AD22A1">
        <w:t xml:space="preserve"> problem </w:t>
      </w:r>
      <w:r w:rsidR="00114DDA">
        <w:t>remains</w:t>
      </w:r>
      <w:r w:rsidR="00931ABD" w:rsidRPr="00AD22A1">
        <w:t xml:space="preserve"> </w:t>
      </w:r>
      <w:r w:rsidR="00A11724">
        <w:t>unclear</w:t>
      </w:r>
      <w:r w:rsidR="00420B1B">
        <w:t xml:space="preserve"> in Australia</w:t>
      </w:r>
      <w:r w:rsidR="00931ABD" w:rsidRPr="00AD22A1">
        <w:t>, as does the extent to which patents provide a necessary incentive for investment in the development of new biomedical drugs, therapies and diagnostics.</w:t>
      </w:r>
      <w:r w:rsidR="002408DF" w:rsidRPr="00AD22A1">
        <w:t xml:space="preserve"> </w:t>
      </w:r>
      <w:r w:rsidR="00E42D87">
        <w:t>Policy makers and l</w:t>
      </w:r>
      <w:r w:rsidR="000326E6" w:rsidRPr="00AD22A1">
        <w:t xml:space="preserve">aw reform agencies lack </w:t>
      </w:r>
      <w:r w:rsidR="0083022D">
        <w:t>a sound evidence-</w:t>
      </w:r>
      <w:r w:rsidR="000326E6" w:rsidRPr="00AD22A1">
        <w:t xml:space="preserve">base </w:t>
      </w:r>
      <w:r w:rsidR="00491665" w:rsidRPr="00AD22A1">
        <w:t xml:space="preserve">of </w:t>
      </w:r>
      <w:r w:rsidR="000326E6" w:rsidRPr="00AD22A1">
        <w:t xml:space="preserve">the positive and negative impacts of patents </w:t>
      </w:r>
      <w:r w:rsidR="00114DDA">
        <w:t xml:space="preserve">on innovation and access to healthcare </w:t>
      </w:r>
      <w:r w:rsidR="000326E6" w:rsidRPr="00AD22A1">
        <w:t xml:space="preserve">to assist </w:t>
      </w:r>
      <w:r w:rsidR="00491665" w:rsidRPr="00AD22A1">
        <w:t xml:space="preserve">them </w:t>
      </w:r>
      <w:r w:rsidR="000326E6" w:rsidRPr="00AD22A1">
        <w:t xml:space="preserve">in determining the best way forward. </w:t>
      </w:r>
      <w:r w:rsidR="005522F4" w:rsidRPr="00AD22A1">
        <w:t xml:space="preserve">This paper reports the results of a survey of laboratories offering genetic tests in Australia. </w:t>
      </w:r>
      <w:r w:rsidR="005C6071">
        <w:t>These results provide</w:t>
      </w:r>
      <w:r w:rsidR="0083022D">
        <w:t xml:space="preserve"> an evidence-</w:t>
      </w:r>
      <w:r w:rsidR="005522F4">
        <w:t>base to assist law and policy reform</w:t>
      </w:r>
      <w:r w:rsidR="009F378A">
        <w:t xml:space="preserve">, </w:t>
      </w:r>
      <w:r w:rsidR="009F378A" w:rsidRPr="00AD22A1">
        <w:t xml:space="preserve">including </w:t>
      </w:r>
      <w:r w:rsidR="00250EFF">
        <w:t>an active</w:t>
      </w:r>
      <w:r w:rsidR="009F378A" w:rsidRPr="00AD22A1">
        <w:t xml:space="preserve"> </w:t>
      </w:r>
      <w:r w:rsidR="00250EFF" w:rsidRPr="00AD22A1">
        <w:t xml:space="preserve">inquiry </w:t>
      </w:r>
      <w:r w:rsidR="00250EFF">
        <w:t xml:space="preserve">by the </w:t>
      </w:r>
      <w:r w:rsidR="009F378A" w:rsidRPr="00AD22A1">
        <w:t xml:space="preserve">Productivity Commission into </w:t>
      </w:r>
      <w:r w:rsidR="00BD67A6">
        <w:lastRenderedPageBreak/>
        <w:t>compulsory licensing (</w:t>
      </w:r>
      <w:r w:rsidR="0084036A">
        <w:t xml:space="preserve">one form of </w:t>
      </w:r>
      <w:r w:rsidR="00EF5C1B">
        <w:t>patent use</w:t>
      </w:r>
      <w:r w:rsidR="00BD67A6" w:rsidRPr="00AD22A1">
        <w:t xml:space="preserve"> without authorisation </w:t>
      </w:r>
      <w:r w:rsidR="00BD67A6">
        <w:t>from</w:t>
      </w:r>
      <w:r w:rsidR="00BD67A6" w:rsidRPr="00AD22A1">
        <w:t xml:space="preserve"> the patent holder</w:t>
      </w:r>
      <w:r w:rsidR="00BD67A6">
        <w:t>)</w:t>
      </w:r>
      <w:r w:rsidR="009F378A" w:rsidRPr="00AD22A1">
        <w:t>.</w:t>
      </w:r>
      <w:r w:rsidR="00250EFF">
        <w:rPr>
          <w:vertAlign w:val="superscript"/>
        </w:rPr>
        <w:t>21</w:t>
      </w:r>
      <w:r w:rsidR="009F378A" w:rsidRPr="00AD22A1">
        <w:t xml:space="preserve"> </w:t>
      </w:r>
    </w:p>
    <w:p w:rsidR="005522F4" w:rsidRDefault="005522F4" w:rsidP="00BE662C">
      <w:pPr>
        <w:spacing w:after="120" w:line="360" w:lineRule="auto"/>
        <w:jc w:val="both"/>
        <w:outlineLvl w:val="0"/>
        <w:rPr>
          <w:b/>
        </w:rPr>
      </w:pPr>
      <w:r>
        <w:rPr>
          <w:b/>
        </w:rPr>
        <w:t>Background</w:t>
      </w:r>
    </w:p>
    <w:p w:rsidR="004E2D1E" w:rsidRPr="00AD22A1" w:rsidRDefault="004E2D1E" w:rsidP="00BE662C">
      <w:pPr>
        <w:spacing w:after="120" w:line="360" w:lineRule="auto"/>
        <w:jc w:val="both"/>
      </w:pPr>
      <w:r w:rsidRPr="00AD22A1">
        <w:t>Th</w:t>
      </w:r>
      <w:r w:rsidR="00582027">
        <w:t>is</w:t>
      </w:r>
      <w:r w:rsidRPr="00AD22A1">
        <w:t xml:space="preserve"> research follows </w:t>
      </w:r>
      <w:r w:rsidR="00BD67A6">
        <w:t>a</w:t>
      </w:r>
      <w:r w:rsidRPr="00AD22A1">
        <w:t xml:space="preserve"> study of patenting and licensing practices in the Australian medical biotechnology industry</w:t>
      </w:r>
      <w:r w:rsidR="00BD67A6">
        <w:t xml:space="preserve"> in 2002-2003</w:t>
      </w:r>
      <w:r w:rsidR="00250EFF">
        <w:t>,</w:t>
      </w:r>
      <w:r w:rsidR="00250EFF">
        <w:rPr>
          <w:vertAlign w:val="superscript"/>
        </w:rPr>
        <w:t>2</w:t>
      </w:r>
      <w:r w:rsidR="00BD67A6">
        <w:rPr>
          <w:vertAlign w:val="superscript"/>
        </w:rPr>
        <w:t>2,23</w:t>
      </w:r>
      <w:r w:rsidRPr="00AD22A1">
        <w:t xml:space="preserve"> </w:t>
      </w:r>
      <w:r w:rsidR="00582027">
        <w:t>which</w:t>
      </w:r>
      <w:r w:rsidRPr="00AD22A1">
        <w:t xml:space="preserve"> included a survey of managers</w:t>
      </w:r>
      <w:r w:rsidR="00A11724" w:rsidRPr="00A11724">
        <w:t xml:space="preserve"> </w:t>
      </w:r>
      <w:r w:rsidR="00A11724">
        <w:t>of genetic testing laboratories</w:t>
      </w:r>
      <w:r w:rsidR="00F40B2E">
        <w:t xml:space="preserve">. </w:t>
      </w:r>
      <w:r w:rsidR="00582027">
        <w:t>Contrasting with</w:t>
      </w:r>
      <w:r w:rsidR="00B25137">
        <w:t xml:space="preserve"> </w:t>
      </w:r>
      <w:r w:rsidR="00F40B2E">
        <w:t>US</w:t>
      </w:r>
      <w:r w:rsidR="0083022D">
        <w:t xml:space="preserve"> studies,</w:t>
      </w:r>
      <w:r w:rsidR="00F40B2E">
        <w:t xml:space="preserve"> th</w:t>
      </w:r>
      <w:r w:rsidR="00582027">
        <w:t>at</w:t>
      </w:r>
      <w:r w:rsidRPr="00AD22A1">
        <w:t xml:space="preserve"> survey </w:t>
      </w:r>
      <w:r w:rsidR="00F40B2E">
        <w:t xml:space="preserve">provided </w:t>
      </w:r>
      <w:r w:rsidRPr="00AD22A1">
        <w:t xml:space="preserve">little </w:t>
      </w:r>
      <w:r w:rsidR="00D45183">
        <w:t>evidence</w:t>
      </w:r>
      <w:r w:rsidR="00D45183" w:rsidRPr="00AD22A1">
        <w:t xml:space="preserve"> </w:t>
      </w:r>
      <w:r w:rsidRPr="00AD22A1">
        <w:t xml:space="preserve">that holders of patents related to </w:t>
      </w:r>
      <w:r w:rsidR="00E42D87">
        <w:t>genetic diagnostics</w:t>
      </w:r>
      <w:r w:rsidRPr="00AD22A1">
        <w:t xml:space="preserve"> were actively enforcing </w:t>
      </w:r>
      <w:r w:rsidR="0083022D">
        <w:t>them</w:t>
      </w:r>
      <w:r w:rsidRPr="00AD22A1">
        <w:t xml:space="preserve"> against Australian laboratories. </w:t>
      </w:r>
      <w:r w:rsidRPr="00D75403">
        <w:t xml:space="preserve">No laboratory reported receipt of notifications from patent holders relating to the BRCA genes. </w:t>
      </w:r>
      <w:r w:rsidR="00EF5C1B">
        <w:t>Of</w:t>
      </w:r>
      <w:r w:rsidR="0083022D">
        <w:t xml:space="preserve"> the 11</w:t>
      </w:r>
      <w:r w:rsidR="00D75403" w:rsidRPr="00D75403">
        <w:t xml:space="preserve"> respondents (36 percent of the sample) </w:t>
      </w:r>
      <w:r w:rsidR="00EF5C1B">
        <w:t xml:space="preserve">who </w:t>
      </w:r>
      <w:r w:rsidR="00D75403" w:rsidRPr="00D75403">
        <w:t>reported that they paid royalties or licence fees to patent holders</w:t>
      </w:r>
      <w:r w:rsidR="00BD67A6">
        <w:t xml:space="preserve">, </w:t>
      </w:r>
      <w:r w:rsidR="00EF5C1B">
        <w:t>most</w:t>
      </w:r>
      <w:r w:rsidR="00D75403" w:rsidRPr="00D75403">
        <w:t xml:space="preserve"> </w:t>
      </w:r>
      <w:r w:rsidR="00EF5C1B">
        <w:t xml:space="preserve">(nine out of 11) related to </w:t>
      </w:r>
      <w:r w:rsidR="00D75403" w:rsidRPr="00D75403">
        <w:t xml:space="preserve">polymerase chain reaction (PCR) methodology for amplifying DNA. </w:t>
      </w:r>
      <w:r w:rsidRPr="00AD22A1">
        <w:t>Eight (26</w:t>
      </w:r>
      <w:r w:rsidR="00D75403">
        <w:t xml:space="preserve"> percent</w:t>
      </w:r>
      <w:r w:rsidRPr="00AD22A1">
        <w:t xml:space="preserve">) </w:t>
      </w:r>
      <w:r w:rsidR="00BD67A6">
        <w:t xml:space="preserve">also </w:t>
      </w:r>
      <w:r w:rsidRPr="00AD22A1">
        <w:t>reported</w:t>
      </w:r>
      <w:r w:rsidR="007B63EF">
        <w:t xml:space="preserve"> that they received</w:t>
      </w:r>
      <w:r w:rsidRPr="00AD22A1">
        <w:t xml:space="preserve"> notifications related to </w:t>
      </w:r>
      <w:r w:rsidR="00EF5C1B">
        <w:t xml:space="preserve">PCR. </w:t>
      </w:r>
      <w:r w:rsidR="00582027">
        <w:t>One</w:t>
      </w:r>
      <w:r w:rsidR="0088534D">
        <w:t xml:space="preserve"> </w:t>
      </w:r>
      <w:r w:rsidRPr="00AD22A1">
        <w:t xml:space="preserve">reported </w:t>
      </w:r>
      <w:r w:rsidR="00114DDA">
        <w:t>receipt of</w:t>
      </w:r>
      <w:r w:rsidR="00491665" w:rsidRPr="00AD22A1">
        <w:t xml:space="preserve"> </w:t>
      </w:r>
      <w:r w:rsidRPr="00AD22A1">
        <w:t xml:space="preserve">a notification relating to </w:t>
      </w:r>
      <w:r w:rsidR="00491665" w:rsidRPr="00AD22A1">
        <w:t>a</w:t>
      </w:r>
      <w:r w:rsidRPr="00AD22A1">
        <w:t xml:space="preserve"> </w:t>
      </w:r>
      <w:r w:rsidR="00E42D87">
        <w:t>specific diagnostic test</w:t>
      </w:r>
      <w:r w:rsidR="0048062E">
        <w:t xml:space="preserve"> for</w:t>
      </w:r>
      <w:r w:rsidR="00E42D87">
        <w:t xml:space="preserve"> </w:t>
      </w:r>
      <w:proofErr w:type="spellStart"/>
      <w:r w:rsidRPr="00AD22A1">
        <w:t>h</w:t>
      </w:r>
      <w:r w:rsidR="00A11724">
        <w:t>ae</w:t>
      </w:r>
      <w:r w:rsidRPr="00AD22A1">
        <w:t>machromatosis</w:t>
      </w:r>
      <w:proofErr w:type="spellEnd"/>
      <w:r w:rsidR="00B25137">
        <w:t>,</w:t>
      </w:r>
      <w:r w:rsidRPr="00AD22A1">
        <w:t xml:space="preserve"> </w:t>
      </w:r>
      <w:r w:rsidR="00B25137">
        <w:t>which</w:t>
      </w:r>
      <w:r w:rsidR="0083022D">
        <w:t xml:space="preserve"> was not further pursued</w:t>
      </w:r>
      <w:r w:rsidRPr="00AD22A1">
        <w:t xml:space="preserve">. </w:t>
      </w:r>
    </w:p>
    <w:p w:rsidR="004E2D1E" w:rsidRPr="00AB60CE" w:rsidRDefault="004E2D1E" w:rsidP="00BE662C">
      <w:pPr>
        <w:spacing w:after="120" w:line="360" w:lineRule="auto"/>
        <w:jc w:val="both"/>
      </w:pPr>
      <w:r w:rsidRPr="00AD22A1">
        <w:t xml:space="preserve">Despite this low </w:t>
      </w:r>
      <w:r w:rsidR="0088534D">
        <w:t xml:space="preserve">patent </w:t>
      </w:r>
      <w:r w:rsidRPr="00AD22A1">
        <w:t xml:space="preserve">enforcement activity, </w:t>
      </w:r>
      <w:r w:rsidR="0031634A">
        <w:t xml:space="preserve">45% of </w:t>
      </w:r>
      <w:r w:rsidRPr="00AD22A1">
        <w:t>respondents</w:t>
      </w:r>
      <w:r w:rsidR="0048062E">
        <w:t xml:space="preserve"> </w:t>
      </w:r>
      <w:r w:rsidRPr="00AD22A1">
        <w:t xml:space="preserve">expressed concern </w:t>
      </w:r>
      <w:r w:rsidR="0048062E">
        <w:t>that gene</w:t>
      </w:r>
      <w:r w:rsidRPr="00AD22A1">
        <w:t xml:space="preserve"> </w:t>
      </w:r>
      <w:r w:rsidR="0031634A">
        <w:t xml:space="preserve">patents may negatively affect access to </w:t>
      </w:r>
      <w:r w:rsidRPr="00AD22A1">
        <w:t>genetic testing services</w:t>
      </w:r>
      <w:r w:rsidR="004D00C4">
        <w:t xml:space="preserve"> and 52% expressed concern </w:t>
      </w:r>
      <w:r w:rsidR="0048062E">
        <w:t>that they could</w:t>
      </w:r>
      <w:r w:rsidR="004D00C4">
        <w:t xml:space="preserve"> negatively affect prices</w:t>
      </w:r>
      <w:r w:rsidR="00F40B2E">
        <w:t>.</w:t>
      </w:r>
      <w:r w:rsidR="0031634A">
        <w:rPr>
          <w:vertAlign w:val="superscript"/>
        </w:rPr>
        <w:t>22</w:t>
      </w:r>
      <w:r w:rsidR="00F40B2E">
        <w:t xml:space="preserve"> </w:t>
      </w:r>
      <w:r w:rsidR="00B25137">
        <w:t>T</w:t>
      </w:r>
      <w:r w:rsidR="000B322C">
        <w:t>h</w:t>
      </w:r>
      <w:r w:rsidR="00B25137">
        <w:t xml:space="preserve">e survey was conducted </w:t>
      </w:r>
      <w:r w:rsidRPr="00AD22A1">
        <w:t>after publicity surrounding the announcement of a strategic alliance between Myriad and Genetic Technologies Ltd (GTG), a small biotechnology company based in Melbourne</w:t>
      </w:r>
      <w:r w:rsidR="00491665" w:rsidRPr="00AD22A1">
        <w:t xml:space="preserve">, providing GTG with an exclusive licence to the relevant </w:t>
      </w:r>
      <w:r w:rsidR="00114DDA">
        <w:t xml:space="preserve">BRCA </w:t>
      </w:r>
      <w:r w:rsidR="00491665" w:rsidRPr="00AD22A1">
        <w:t>paten</w:t>
      </w:r>
      <w:r w:rsidR="00FE07C5">
        <w:t>ts in Australia and New Zealand.</w:t>
      </w:r>
      <w:r w:rsidR="00FE07C5">
        <w:rPr>
          <w:vertAlign w:val="superscript"/>
        </w:rPr>
        <w:t>9</w:t>
      </w:r>
      <w:r w:rsidR="00FE07C5">
        <w:t xml:space="preserve"> </w:t>
      </w:r>
      <w:r w:rsidR="00BD67A6">
        <w:t xml:space="preserve">Although </w:t>
      </w:r>
      <w:r w:rsidR="0088534D">
        <w:t>t</w:t>
      </w:r>
      <w:r w:rsidR="00BD67A6">
        <w:t>here was</w:t>
      </w:r>
      <w:r w:rsidRPr="00AD22A1">
        <w:t xml:space="preserve"> widespread </w:t>
      </w:r>
      <w:r w:rsidR="0088534D">
        <w:t>concern at the time</w:t>
      </w:r>
      <w:r w:rsidRPr="00D75403">
        <w:t xml:space="preserve"> that the </w:t>
      </w:r>
      <w:r w:rsidR="00491665" w:rsidRPr="00D75403">
        <w:t>receipt</w:t>
      </w:r>
      <w:r w:rsidRPr="00D75403">
        <w:t xml:space="preserve"> of enforcement</w:t>
      </w:r>
      <w:r w:rsidR="00BD67A6">
        <w:t xml:space="preserve"> notices from GTG was imminent</w:t>
      </w:r>
      <w:r w:rsidR="00F40B2E">
        <w:t xml:space="preserve">, </w:t>
      </w:r>
      <w:r w:rsidR="00D75403" w:rsidRPr="00D75403">
        <w:t xml:space="preserve">in July 2003 the then CEO </w:t>
      </w:r>
      <w:r w:rsidR="00F40B2E">
        <w:t xml:space="preserve">of GTG </w:t>
      </w:r>
      <w:r w:rsidR="00D75403" w:rsidRPr="00D75403">
        <w:t>confirmed that the company has no intention of enforcing the patents on behalf of Myriad.</w:t>
      </w:r>
      <w:r w:rsidR="00A11724" w:rsidRPr="00D75403">
        <w:t xml:space="preserve"> </w:t>
      </w:r>
      <w:r w:rsidR="00BD67A6">
        <w:t>The</w:t>
      </w:r>
      <w:r w:rsidRPr="00AD22A1">
        <w:t xml:space="preserve"> spectre of enforcement </w:t>
      </w:r>
      <w:r w:rsidR="00B25137">
        <w:t>of the</w:t>
      </w:r>
      <w:r w:rsidRPr="00AD22A1">
        <w:t xml:space="preserve"> BRCA patents was raised again in </w:t>
      </w:r>
      <w:r w:rsidR="00E9094C" w:rsidRPr="00AD22A1">
        <w:t>20</w:t>
      </w:r>
      <w:r w:rsidR="00BD67A6">
        <w:t>09</w:t>
      </w:r>
      <w:r w:rsidR="00E9094C" w:rsidRPr="00AD22A1">
        <w:t xml:space="preserve">, </w:t>
      </w:r>
      <w:r w:rsidR="00F40B2E">
        <w:t>when</w:t>
      </w:r>
      <w:r w:rsidR="00E9094C" w:rsidRPr="00AD22A1">
        <w:t xml:space="preserve"> it was reported that some organisat</w:t>
      </w:r>
      <w:r w:rsidR="00BD67A6">
        <w:t>ions received notifications relating to the</w:t>
      </w:r>
      <w:r w:rsidR="00A57321">
        <w:t>m</w:t>
      </w:r>
      <w:r w:rsidR="00E9094C" w:rsidRPr="00AD22A1">
        <w:t>.</w:t>
      </w:r>
      <w:r w:rsidR="00FE07C5">
        <w:rPr>
          <w:vertAlign w:val="superscript"/>
        </w:rPr>
        <w:t>12</w:t>
      </w:r>
      <w:r w:rsidR="00AB60CE">
        <w:rPr>
          <w:vertAlign w:val="superscript"/>
        </w:rPr>
        <w:t xml:space="preserve"> </w:t>
      </w:r>
      <w:r w:rsidR="00AB60CE">
        <w:t xml:space="preserve">Although this </w:t>
      </w:r>
      <w:r w:rsidR="00582027">
        <w:t>attempt at</w:t>
      </w:r>
      <w:r w:rsidR="00AB60CE">
        <w:t xml:space="preserve"> </w:t>
      </w:r>
      <w:r w:rsidR="007574F3">
        <w:t xml:space="preserve">patent </w:t>
      </w:r>
      <w:r w:rsidR="00AB60CE">
        <w:t>enforcement was subsequently abandoned, it led to renewed interest in patent law reform.</w:t>
      </w:r>
    </w:p>
    <w:p w:rsidR="008318E2" w:rsidRPr="00AD22A1" w:rsidRDefault="00A57321" w:rsidP="00BE662C">
      <w:pPr>
        <w:spacing w:after="120" w:line="360" w:lineRule="auto"/>
        <w:jc w:val="both"/>
      </w:pPr>
      <w:r>
        <w:lastRenderedPageBreak/>
        <w:t>Later in 2009</w:t>
      </w:r>
      <w:r w:rsidR="00BD67A6">
        <w:t>,</w:t>
      </w:r>
      <w:r w:rsidR="008318E2" w:rsidRPr="00AD22A1">
        <w:t xml:space="preserve"> the Australian Senate referred an inquiry into gene patents to the Senate Community Affairs </w:t>
      </w:r>
      <w:r w:rsidR="00D76BE5" w:rsidRPr="00AD22A1">
        <w:t xml:space="preserve">Reference </w:t>
      </w:r>
      <w:r w:rsidR="008318E2" w:rsidRPr="00AD22A1">
        <w:t>Committee</w:t>
      </w:r>
      <w:r w:rsidR="00BD67A6">
        <w:t>, t</w:t>
      </w:r>
      <w:r w:rsidR="00D76BE5" w:rsidRPr="00AD22A1">
        <w:t xml:space="preserve">he </w:t>
      </w:r>
      <w:r w:rsidR="008318E2" w:rsidRPr="00AD22A1">
        <w:t xml:space="preserve">final report </w:t>
      </w:r>
      <w:r w:rsidR="00BD67A6">
        <w:t xml:space="preserve">of which </w:t>
      </w:r>
      <w:r w:rsidR="00FE07C5">
        <w:t xml:space="preserve">was </w:t>
      </w:r>
      <w:r w:rsidR="00BD67A6">
        <w:t>released</w:t>
      </w:r>
      <w:r w:rsidR="00FE07C5">
        <w:t xml:space="preserve"> in November 2010.</w:t>
      </w:r>
      <w:r w:rsidR="00FE07C5">
        <w:rPr>
          <w:vertAlign w:val="superscript"/>
        </w:rPr>
        <w:t>12</w:t>
      </w:r>
      <w:r w:rsidR="00BD67A6">
        <w:rPr>
          <w:vertAlign w:val="superscript"/>
        </w:rPr>
        <w:t xml:space="preserve"> </w:t>
      </w:r>
      <w:r w:rsidR="00114DDA">
        <w:t xml:space="preserve">The Committee </w:t>
      </w:r>
      <w:r>
        <w:t>called for</w:t>
      </w:r>
      <w:r w:rsidR="00AF35EA" w:rsidRPr="00AD22A1">
        <w:t xml:space="preserve"> </w:t>
      </w:r>
      <w:r w:rsidR="00E462F7" w:rsidRPr="00AD22A1">
        <w:t>collection of data, research and analysis concerning genetic testing and treatment in Australia,</w:t>
      </w:r>
      <w:r w:rsidR="00C631FA" w:rsidRPr="00AD22A1">
        <w:t xml:space="preserve"> </w:t>
      </w:r>
      <w:r w:rsidR="00114DDA">
        <w:t>together with</w:t>
      </w:r>
      <w:r w:rsidR="00C631FA" w:rsidRPr="00AD22A1">
        <w:t xml:space="preserve"> </w:t>
      </w:r>
      <w:r w:rsidR="00BD67A6">
        <w:t>a number of patent law</w:t>
      </w:r>
      <w:r w:rsidR="00582027" w:rsidRPr="00582027">
        <w:t xml:space="preserve"> </w:t>
      </w:r>
      <w:r w:rsidR="00582027" w:rsidRPr="00AD22A1">
        <w:t>reform</w:t>
      </w:r>
      <w:r w:rsidR="00582027">
        <w:t>s</w:t>
      </w:r>
      <w:r w:rsidR="00BD67A6">
        <w:t xml:space="preserve">. </w:t>
      </w:r>
      <w:r>
        <w:t xml:space="preserve">The Senate inquiry followed a more extensive </w:t>
      </w:r>
      <w:r w:rsidR="0083022D">
        <w:t>inquiry</w:t>
      </w:r>
      <w:r w:rsidR="00EB1172" w:rsidRPr="00AD22A1">
        <w:t xml:space="preserve"> </w:t>
      </w:r>
      <w:r w:rsidR="0083022D">
        <w:t xml:space="preserve">by </w:t>
      </w:r>
      <w:r w:rsidR="00EB1172" w:rsidRPr="00AD22A1">
        <w:t>A</w:t>
      </w:r>
      <w:r w:rsidR="00FE07C5">
        <w:t>ustralian Law Reform Commission (A</w:t>
      </w:r>
      <w:r w:rsidR="00EB1172" w:rsidRPr="00AD22A1">
        <w:t>LRC</w:t>
      </w:r>
      <w:r w:rsidR="00FE07C5">
        <w:t>)</w:t>
      </w:r>
      <w:r w:rsidR="00114DDA">
        <w:t xml:space="preserve"> </w:t>
      </w:r>
      <w:r w:rsidR="0083022D">
        <w:t xml:space="preserve">in 2003-2004. </w:t>
      </w:r>
      <w:r>
        <w:t>The ALRC’s final</w:t>
      </w:r>
      <w:r w:rsidR="0083022D">
        <w:t xml:space="preserve"> report </w:t>
      </w:r>
      <w:r w:rsidR="00AF35EA" w:rsidRPr="00AD22A1">
        <w:t xml:space="preserve">included </w:t>
      </w:r>
      <w:r w:rsidR="00C631FA" w:rsidRPr="00AD22A1">
        <w:t xml:space="preserve">many of the same </w:t>
      </w:r>
      <w:r w:rsidR="0083022D">
        <w:t xml:space="preserve">law reform </w:t>
      </w:r>
      <w:r w:rsidR="00AF35EA" w:rsidRPr="00AD22A1">
        <w:t xml:space="preserve">recommendations </w:t>
      </w:r>
      <w:r w:rsidR="00C631FA" w:rsidRPr="00AD22A1">
        <w:t>as the later Senate report</w:t>
      </w:r>
      <w:r w:rsidR="00AF35EA" w:rsidRPr="00AD22A1">
        <w:t>.</w:t>
      </w:r>
      <w:r w:rsidR="00FE07C5">
        <w:rPr>
          <w:vertAlign w:val="superscript"/>
        </w:rPr>
        <w:t>2</w:t>
      </w:r>
      <w:r w:rsidR="00D95F8C">
        <w:rPr>
          <w:vertAlign w:val="superscript"/>
        </w:rPr>
        <w:t>4</w:t>
      </w:r>
      <w:r w:rsidR="00AF35EA" w:rsidRPr="00AD22A1">
        <w:t xml:space="preserve"> </w:t>
      </w:r>
      <w:r>
        <w:t>Of particular note</w:t>
      </w:r>
      <w:r w:rsidR="00AF35EA" w:rsidRPr="00AD22A1">
        <w:t>, the ALRC recommend</w:t>
      </w:r>
      <w:r w:rsidR="00D76BE5" w:rsidRPr="00AD22A1">
        <w:t>ed</w:t>
      </w:r>
      <w:r w:rsidR="00AF35EA" w:rsidRPr="00AD22A1">
        <w:t xml:space="preserve"> that genes should </w:t>
      </w:r>
      <w:r w:rsidR="00D76BE5" w:rsidRPr="00AD22A1">
        <w:t xml:space="preserve">not </w:t>
      </w:r>
      <w:r w:rsidR="00AF35EA" w:rsidRPr="00AD22A1">
        <w:t>be excluded from patenting.</w:t>
      </w:r>
      <w:r w:rsidR="00F40B2E">
        <w:t xml:space="preserve"> </w:t>
      </w:r>
      <w:r w:rsidR="00EB1172" w:rsidRPr="00AD22A1">
        <w:t xml:space="preserve">In November 2011 the Federal Government made a formal response to </w:t>
      </w:r>
      <w:r>
        <w:t>both</w:t>
      </w:r>
      <w:r w:rsidR="00BD67A6">
        <w:t xml:space="preserve"> reports</w:t>
      </w:r>
      <w:r w:rsidR="00B25137">
        <w:t>,</w:t>
      </w:r>
      <w:r w:rsidR="00BD67A6">
        <w:rPr>
          <w:vertAlign w:val="superscript"/>
        </w:rPr>
        <w:t xml:space="preserve"> </w:t>
      </w:r>
      <w:r w:rsidR="00EB1172" w:rsidRPr="00AD22A1">
        <w:t>largely accepting their recommendations.</w:t>
      </w:r>
      <w:r w:rsidR="00FE07C5">
        <w:rPr>
          <w:vertAlign w:val="superscript"/>
        </w:rPr>
        <w:t>2</w:t>
      </w:r>
      <w:r w:rsidR="00D95F8C">
        <w:rPr>
          <w:vertAlign w:val="superscript"/>
        </w:rPr>
        <w:t>5</w:t>
      </w:r>
      <w:r w:rsidR="00EB1172" w:rsidRPr="00AD22A1">
        <w:t xml:space="preserve"> </w:t>
      </w:r>
    </w:p>
    <w:p w:rsidR="004E2D1E" w:rsidRPr="00AD22A1" w:rsidRDefault="00EB1172" w:rsidP="00BE662C">
      <w:pPr>
        <w:spacing w:after="120" w:line="360" w:lineRule="auto"/>
        <w:jc w:val="both"/>
      </w:pPr>
      <w:r w:rsidRPr="00AD22A1">
        <w:t xml:space="preserve">Independently, a Private Members Bill was introduced into the Australian Senate in </w:t>
      </w:r>
      <w:r w:rsidR="00870385" w:rsidRPr="00AD22A1">
        <w:t>November 2011</w:t>
      </w:r>
      <w:r w:rsidRPr="00AD22A1">
        <w:t xml:space="preserve">, seeking to exclude genes and other biological materials from patenting. The Senate Legal and Constitutional Affairs Legislative Committee was asked to consider the proposed legislation. The </w:t>
      </w:r>
      <w:r w:rsidR="00B826CF" w:rsidRPr="00AD22A1">
        <w:t xml:space="preserve">opinion of the majority in </w:t>
      </w:r>
      <w:r w:rsidR="00B25137">
        <w:t>the</w:t>
      </w:r>
      <w:r w:rsidR="00B826CF" w:rsidRPr="00AD22A1">
        <w:t xml:space="preserve"> </w:t>
      </w:r>
      <w:r w:rsidR="00F40B2E">
        <w:t>final report</w:t>
      </w:r>
      <w:r w:rsidR="00B826CF" w:rsidRPr="00AD22A1">
        <w:t xml:space="preserve"> was </w:t>
      </w:r>
      <w:r w:rsidRPr="00AD22A1">
        <w:t>that the Bill should not be supported</w:t>
      </w:r>
      <w:r w:rsidR="00B826CF" w:rsidRPr="00AD22A1">
        <w:t>, largely because of its broad scope, and the imprecise languag</w:t>
      </w:r>
      <w:r w:rsidR="002754C5">
        <w:t>e of its provisions</w:t>
      </w:r>
      <w:r w:rsidRPr="00AD22A1">
        <w:t>.</w:t>
      </w:r>
      <w:r w:rsidR="002754C5">
        <w:rPr>
          <w:vertAlign w:val="superscript"/>
        </w:rPr>
        <w:t>18,19</w:t>
      </w:r>
      <w:r w:rsidR="00870385" w:rsidRPr="00AD22A1">
        <w:t xml:space="preserve"> </w:t>
      </w:r>
      <w:r w:rsidR="0083022D">
        <w:t>There are some indicati</w:t>
      </w:r>
      <w:r w:rsidR="002754C5">
        <w:t>ons</w:t>
      </w:r>
      <w:r w:rsidR="00B826CF" w:rsidRPr="00AD22A1">
        <w:t xml:space="preserve"> </w:t>
      </w:r>
      <w:r w:rsidR="00870385" w:rsidRPr="00AD22A1">
        <w:t>that a modified Bill dealing exclusively with the exclusion of gene sequences in their native form will be tabled in the Australian parliament in 2013.</w:t>
      </w:r>
      <w:r w:rsidR="00D45183">
        <w:rPr>
          <w:vertAlign w:val="superscript"/>
        </w:rPr>
        <w:t>26</w:t>
      </w:r>
      <w:r w:rsidR="00870385" w:rsidRPr="00AD22A1">
        <w:t xml:space="preserve"> </w:t>
      </w:r>
      <w:r w:rsidR="00B826CF" w:rsidRPr="00AD22A1">
        <w:t>In these circumstances</w:t>
      </w:r>
      <w:r w:rsidR="00870385" w:rsidRPr="00AD22A1">
        <w:t xml:space="preserve">, the need for </w:t>
      </w:r>
      <w:r w:rsidR="00D76BE5" w:rsidRPr="00AD22A1">
        <w:t>an up</w:t>
      </w:r>
      <w:r w:rsidR="00114DDA">
        <w:t>dated</w:t>
      </w:r>
      <w:r w:rsidR="00D76BE5" w:rsidRPr="00AD22A1">
        <w:t xml:space="preserve"> evidence-</w:t>
      </w:r>
      <w:r w:rsidR="00870385" w:rsidRPr="00AD22A1">
        <w:t xml:space="preserve">base on the impact of patents on innovation and access to healthcare is as crucial now as it has ever been. </w:t>
      </w:r>
    </w:p>
    <w:p w:rsidR="00B62F0E" w:rsidRPr="00AD22A1" w:rsidRDefault="007B7F88" w:rsidP="00BE662C">
      <w:pPr>
        <w:keepNext/>
        <w:spacing w:after="120" w:line="360" w:lineRule="auto"/>
        <w:jc w:val="both"/>
        <w:outlineLvl w:val="0"/>
        <w:rPr>
          <w:b/>
        </w:rPr>
      </w:pPr>
      <w:r w:rsidRPr="00AD22A1">
        <w:rPr>
          <w:b/>
        </w:rPr>
        <w:t>Methods</w:t>
      </w:r>
    </w:p>
    <w:p w:rsidR="00B62F0E" w:rsidRPr="00AD22A1" w:rsidRDefault="00B62F0E" w:rsidP="00BE662C">
      <w:pPr>
        <w:spacing w:after="120" w:line="360" w:lineRule="auto"/>
        <w:jc w:val="both"/>
        <w:outlineLvl w:val="0"/>
        <w:rPr>
          <w:i/>
        </w:rPr>
      </w:pPr>
      <w:r w:rsidRPr="00AD22A1">
        <w:rPr>
          <w:i/>
        </w:rPr>
        <w:t>Survey Instrument</w:t>
      </w:r>
    </w:p>
    <w:p w:rsidR="00F53824" w:rsidRDefault="00F53824" w:rsidP="00BE662C">
      <w:pPr>
        <w:spacing w:after="120" w:line="360" w:lineRule="auto"/>
        <w:jc w:val="both"/>
      </w:pPr>
      <w:r w:rsidRPr="00AD22A1">
        <w:t xml:space="preserve">The survey </w:t>
      </w:r>
      <w:r w:rsidR="0083022D">
        <w:t>used</w:t>
      </w:r>
      <w:r w:rsidRPr="00AD22A1">
        <w:t xml:space="preserve"> Survey Monkey software. </w:t>
      </w:r>
      <w:r w:rsidR="006B1807">
        <w:t xml:space="preserve">Ethical approval was given by the Tasmanian Human Research Ethics Committee. </w:t>
      </w:r>
      <w:r w:rsidRPr="00AD22A1">
        <w:t xml:space="preserve">The survey </w:t>
      </w:r>
      <w:r w:rsidR="00B25137">
        <w:t>covered a range of topics, but this</w:t>
      </w:r>
      <w:r w:rsidR="00AD22A1" w:rsidRPr="00AD22A1">
        <w:t xml:space="preserve"> paper focuses </w:t>
      </w:r>
      <w:r w:rsidR="00B25137">
        <w:t>specifically</w:t>
      </w:r>
      <w:r w:rsidR="00AD22A1" w:rsidRPr="00AD22A1">
        <w:t xml:space="preserve"> on </w:t>
      </w:r>
      <w:r w:rsidR="00582027">
        <w:t xml:space="preserve">enforcement of </w:t>
      </w:r>
      <w:r w:rsidR="00AD22A1" w:rsidRPr="00AD22A1">
        <w:t xml:space="preserve">patents </w:t>
      </w:r>
      <w:r w:rsidR="00582027">
        <w:t xml:space="preserve">against diagnostic laboratories </w:t>
      </w:r>
      <w:r w:rsidR="00AD22A1" w:rsidRPr="00AD22A1">
        <w:t>and current and fut</w:t>
      </w:r>
      <w:r w:rsidR="007214AC">
        <w:t>ure concerns and protections associated with</w:t>
      </w:r>
      <w:r w:rsidR="00AD22A1" w:rsidRPr="00AD22A1">
        <w:t xml:space="preserve"> </w:t>
      </w:r>
      <w:r w:rsidR="00582027">
        <w:t>those enforcement activities</w:t>
      </w:r>
      <w:r w:rsidR="00AD22A1" w:rsidRPr="00AD22A1">
        <w:t>.</w:t>
      </w:r>
    </w:p>
    <w:p w:rsidR="001A0812" w:rsidRDefault="001A0812" w:rsidP="00582027">
      <w:pPr>
        <w:keepNext/>
        <w:spacing w:after="120" w:line="360" w:lineRule="auto"/>
        <w:jc w:val="both"/>
        <w:rPr>
          <w:i/>
        </w:rPr>
      </w:pPr>
      <w:r>
        <w:rPr>
          <w:i/>
        </w:rPr>
        <w:lastRenderedPageBreak/>
        <w:t>Survey Design</w:t>
      </w:r>
    </w:p>
    <w:p w:rsidR="001A0812" w:rsidRPr="001A0812" w:rsidRDefault="001A0812" w:rsidP="00BE662C">
      <w:pPr>
        <w:spacing w:after="120" w:line="360" w:lineRule="auto"/>
        <w:jc w:val="both"/>
      </w:pPr>
      <w:r>
        <w:t>Before the survey was drafted</w:t>
      </w:r>
      <w:r w:rsidR="0048062E">
        <w:t>,</w:t>
      </w:r>
      <w:r>
        <w:t xml:space="preserve"> interviews </w:t>
      </w:r>
      <w:r w:rsidR="0048062E">
        <w:t xml:space="preserve">were conducted </w:t>
      </w:r>
      <w:r>
        <w:t xml:space="preserve">with managers from four leading Victorian diagnostics providers. This provided the authors with insights into </w:t>
      </w:r>
      <w:r w:rsidR="00582027">
        <w:t xml:space="preserve">current contentious issues in </w:t>
      </w:r>
      <w:r>
        <w:t>genetic diagnostics, allow</w:t>
      </w:r>
      <w:r w:rsidR="0048062E">
        <w:t>ing</w:t>
      </w:r>
      <w:r>
        <w:t xml:space="preserve"> them to frame questions relevant to diagnostic providers</w:t>
      </w:r>
      <w:r w:rsidR="00BE662C">
        <w:t>,</w:t>
      </w:r>
      <w:r w:rsidR="0048062E">
        <w:t xml:space="preserve"> as well as providing further </w:t>
      </w:r>
      <w:r>
        <w:t xml:space="preserve">context </w:t>
      </w:r>
      <w:r w:rsidR="00BE662C">
        <w:t>in interpreting</w:t>
      </w:r>
      <w:r w:rsidR="0048062E">
        <w:t xml:space="preserve"> the </w:t>
      </w:r>
      <w:r>
        <w:t xml:space="preserve">results </w:t>
      </w:r>
      <w:r w:rsidR="00AB60CE">
        <w:t>of</w:t>
      </w:r>
      <w:r>
        <w:t xml:space="preserve"> the survey.</w:t>
      </w:r>
    </w:p>
    <w:p w:rsidR="00B62F0E" w:rsidRPr="00AD22A1" w:rsidRDefault="00AD22A1" w:rsidP="00BE662C">
      <w:pPr>
        <w:keepNext/>
        <w:spacing w:after="120" w:line="360" w:lineRule="auto"/>
        <w:jc w:val="both"/>
        <w:outlineLvl w:val="0"/>
        <w:rPr>
          <w:i/>
        </w:rPr>
      </w:pPr>
      <w:r w:rsidRPr="00AD22A1">
        <w:rPr>
          <w:i/>
        </w:rPr>
        <w:t>Recruitment</w:t>
      </w:r>
    </w:p>
    <w:p w:rsidR="007B7F88" w:rsidRPr="00AD22A1" w:rsidRDefault="0083022D" w:rsidP="00BE662C">
      <w:pPr>
        <w:spacing w:after="120" w:line="360" w:lineRule="auto"/>
        <w:jc w:val="both"/>
      </w:pPr>
      <w:r w:rsidRPr="00AD22A1">
        <w:t xml:space="preserve">Intended participants were managers of human genetic diagnostic laboratories accredited by the National Association of Testing Authorities (NATA) (http://www.nata.asn.au/index.php). </w:t>
      </w:r>
      <w:r w:rsidR="005548FE">
        <w:t>They</w:t>
      </w:r>
      <w:r w:rsidR="00B62F0E" w:rsidRPr="00AD22A1">
        <w:t xml:space="preserve"> were identified from </w:t>
      </w:r>
      <w:r w:rsidR="009F378A">
        <w:t>four webpages on the NATA website listing laboratories that are involved in</w:t>
      </w:r>
      <w:r w:rsidR="007B7F88" w:rsidRPr="00AD22A1">
        <w:t xml:space="preserve"> molecular genetics, genetic testing, biochemical genetics</w:t>
      </w:r>
      <w:r w:rsidR="009F378A">
        <w:t xml:space="preserve"> and</w:t>
      </w:r>
      <w:r w:rsidR="007B7F88" w:rsidRPr="00AD22A1">
        <w:t xml:space="preserve"> cytogenetics. Once international </w:t>
      </w:r>
      <w:r w:rsidR="008E7C2D">
        <w:t>laboratories</w:t>
      </w:r>
      <w:r w:rsidR="007B7F88" w:rsidRPr="00AD22A1">
        <w:t xml:space="preserve"> and </w:t>
      </w:r>
      <w:r w:rsidR="008E7C2D">
        <w:t>laboratories</w:t>
      </w:r>
      <w:r w:rsidR="007B7F88" w:rsidRPr="00AD22A1">
        <w:t xml:space="preserve"> listed multiple times were removed, 50 </w:t>
      </w:r>
      <w:r w:rsidR="008E7C2D">
        <w:t>remained</w:t>
      </w:r>
      <w:r w:rsidR="007B7F88" w:rsidRPr="00AD22A1">
        <w:t xml:space="preserve">. </w:t>
      </w:r>
      <w:r w:rsidR="008E7C2D">
        <w:t xml:space="preserve">Attempts were made to </w:t>
      </w:r>
      <w:r w:rsidR="007B7F88" w:rsidRPr="00AD22A1">
        <w:t xml:space="preserve">contact all </w:t>
      </w:r>
      <w:r w:rsidR="008E7C2D">
        <w:t>laboratories</w:t>
      </w:r>
      <w:r w:rsidR="007214AC" w:rsidRPr="007214AC">
        <w:t xml:space="preserve"> </w:t>
      </w:r>
      <w:r w:rsidR="007214AC">
        <w:t>to obtain contact email</w:t>
      </w:r>
      <w:r w:rsidR="005548FE">
        <w:t>s</w:t>
      </w:r>
      <w:r w:rsidR="007214AC">
        <w:t xml:space="preserve"> of laboratory manager</w:t>
      </w:r>
      <w:r w:rsidR="005548FE">
        <w:t>s</w:t>
      </w:r>
      <w:r w:rsidR="007214AC">
        <w:t xml:space="preserve"> and </w:t>
      </w:r>
      <w:r w:rsidR="005548FE">
        <w:t>to inquire</w:t>
      </w:r>
      <w:r w:rsidR="007214AC">
        <w:t xml:space="preserve"> if they were willing to participate in the survey</w:t>
      </w:r>
      <w:r w:rsidR="007B7F88" w:rsidRPr="00AD22A1">
        <w:t xml:space="preserve">. </w:t>
      </w:r>
      <w:r w:rsidR="008E7C2D">
        <w:t>Four</w:t>
      </w:r>
      <w:r w:rsidR="007B7F88" w:rsidRPr="00AD22A1">
        <w:t xml:space="preserve"> did not respond to calls or emails</w:t>
      </w:r>
      <w:r w:rsidR="008E7C2D">
        <w:t>;</w:t>
      </w:r>
      <w:r w:rsidR="007B7F88" w:rsidRPr="00AD22A1">
        <w:t xml:space="preserve"> </w:t>
      </w:r>
      <w:r w:rsidR="008E7C2D">
        <w:t>two</w:t>
      </w:r>
      <w:r w:rsidR="007B7F88" w:rsidRPr="00AD22A1">
        <w:t xml:space="preserve"> stated they did not conduct the types of genetic tests </w:t>
      </w:r>
      <w:r w:rsidR="008E7C2D">
        <w:t>that were of interest (</w:t>
      </w:r>
      <w:r w:rsidR="007B7F88" w:rsidRPr="00AD22A1">
        <w:t>that is, they only condu</w:t>
      </w:r>
      <w:r w:rsidR="008E7C2D">
        <w:t>cted traditional cytogenetics); one</w:t>
      </w:r>
      <w:r w:rsidR="007B7F88" w:rsidRPr="00AD22A1">
        <w:t xml:space="preserve"> conducted an </w:t>
      </w:r>
      <w:r w:rsidR="008E7C2D">
        <w:t>aspect</w:t>
      </w:r>
      <w:r w:rsidR="007B7F88" w:rsidRPr="00AD22A1">
        <w:t xml:space="preserve"> of the chemistry involved in genetic testing</w:t>
      </w:r>
      <w:r w:rsidR="008E7C2D">
        <w:t xml:space="preserve"> </w:t>
      </w:r>
      <w:r w:rsidR="00A57321">
        <w:t>but</w:t>
      </w:r>
      <w:r w:rsidR="008E7C2D">
        <w:t xml:space="preserve"> not</w:t>
      </w:r>
      <w:r w:rsidR="007B7F88" w:rsidRPr="00AD22A1">
        <w:t xml:space="preserve"> genetic test</w:t>
      </w:r>
      <w:r w:rsidR="008E7C2D">
        <w:t>ing as such; six</w:t>
      </w:r>
      <w:r w:rsidR="007B7F88" w:rsidRPr="00AD22A1">
        <w:t xml:space="preserve"> stated they were part of a larger organisation and </w:t>
      </w:r>
      <w:r w:rsidR="008E7C2D">
        <w:t>were</w:t>
      </w:r>
      <w:r w:rsidR="007B7F88" w:rsidRPr="00AD22A1">
        <w:t xml:space="preserve"> overseen by another </w:t>
      </w:r>
      <w:r w:rsidR="008E7C2D">
        <w:t>laboratory</w:t>
      </w:r>
      <w:r w:rsidR="007B7F88" w:rsidRPr="00AD22A1">
        <w:t xml:space="preserve"> listed on </w:t>
      </w:r>
      <w:r w:rsidR="008E7C2D">
        <w:t xml:space="preserve">the </w:t>
      </w:r>
      <w:r w:rsidR="007B7F88" w:rsidRPr="00AD22A1">
        <w:t>NATA</w:t>
      </w:r>
      <w:r w:rsidR="008E7C2D">
        <w:t xml:space="preserve"> website</w:t>
      </w:r>
      <w:r w:rsidR="007B7F88" w:rsidRPr="00AD22A1">
        <w:t>.</w:t>
      </w:r>
      <w:r w:rsidR="008E7C2D">
        <w:t xml:space="preserve"> </w:t>
      </w:r>
      <w:r w:rsidR="007214AC">
        <w:t xml:space="preserve">Email invitations to participate were sent to each of the </w:t>
      </w:r>
      <w:r w:rsidR="00076C26">
        <w:t>37</w:t>
      </w:r>
      <w:r w:rsidR="007214AC">
        <w:t xml:space="preserve"> remaining laboratory managers using the automated Survey Monkey message manager system on 16 November 2012. Reminders were sent on 7 and 19 December 2012 and the survey </w:t>
      </w:r>
      <w:proofErr w:type="gramStart"/>
      <w:r w:rsidR="007214AC">
        <w:t>was</w:t>
      </w:r>
      <w:proofErr w:type="gramEnd"/>
      <w:r w:rsidR="007214AC">
        <w:t xml:space="preserve"> closed on 31 December 2012. Of the </w:t>
      </w:r>
      <w:r w:rsidR="00076C26">
        <w:t>37</w:t>
      </w:r>
      <w:r w:rsidR="007214AC">
        <w:t xml:space="preserve"> invitees, 28 accessed the survey and 24 completed it (a response rate of </w:t>
      </w:r>
      <w:r w:rsidR="00076C26">
        <w:t>65</w:t>
      </w:r>
      <w:r w:rsidR="007214AC">
        <w:t xml:space="preserve"> percent). </w:t>
      </w:r>
    </w:p>
    <w:p w:rsidR="00EF56A6" w:rsidRPr="007214AC" w:rsidRDefault="00EF56A6" w:rsidP="00BE662C">
      <w:pPr>
        <w:keepNext/>
        <w:spacing w:after="120" w:line="360" w:lineRule="auto"/>
        <w:jc w:val="both"/>
        <w:rPr>
          <w:b/>
        </w:rPr>
      </w:pPr>
      <w:r w:rsidRPr="007214AC">
        <w:rPr>
          <w:b/>
        </w:rPr>
        <w:t>Survey results</w:t>
      </w:r>
    </w:p>
    <w:p w:rsidR="00373042" w:rsidRDefault="00EF56A6" w:rsidP="00BE662C">
      <w:pPr>
        <w:spacing w:after="120" w:line="360" w:lineRule="auto"/>
        <w:jc w:val="both"/>
      </w:pPr>
      <w:r w:rsidRPr="00AD22A1">
        <w:t xml:space="preserve">The majority of </w:t>
      </w:r>
      <w:r w:rsidR="007214AC">
        <w:t>respondent</w:t>
      </w:r>
      <w:r w:rsidRPr="00AD22A1">
        <w:t xml:space="preserve"> laboratories were </w:t>
      </w:r>
      <w:r w:rsidR="00156266">
        <w:t xml:space="preserve">located </w:t>
      </w:r>
      <w:r w:rsidRPr="00AD22A1">
        <w:t>in public hospitals (</w:t>
      </w:r>
      <w:r w:rsidR="00770E85">
        <w:t>Table</w:t>
      </w:r>
      <w:r w:rsidR="00770E85" w:rsidRPr="00AD22A1">
        <w:t xml:space="preserve"> </w:t>
      </w:r>
      <w:r w:rsidRPr="00AD22A1">
        <w:t xml:space="preserve">1). </w:t>
      </w:r>
    </w:p>
    <w:p w:rsidR="00EF56A6" w:rsidRDefault="00EF56A6" w:rsidP="00BE662C">
      <w:pPr>
        <w:spacing w:after="120" w:line="360" w:lineRule="auto"/>
        <w:jc w:val="both"/>
      </w:pPr>
    </w:p>
    <w:p w:rsidR="00373042" w:rsidRDefault="004808B7" w:rsidP="00BE662C">
      <w:pPr>
        <w:spacing w:after="120" w:line="360" w:lineRule="auto"/>
        <w:jc w:val="both"/>
      </w:pPr>
      <w:r>
        <w:rPr>
          <w:noProof/>
          <w:lang w:val="en-US"/>
        </w:rPr>
        <w:t xml:space="preserve">&lt;insert </w:t>
      </w:r>
      <w:r w:rsidR="00770E85">
        <w:rPr>
          <w:noProof/>
          <w:lang w:val="en-US"/>
        </w:rPr>
        <w:t xml:space="preserve">Table </w:t>
      </w:r>
      <w:r>
        <w:rPr>
          <w:noProof/>
          <w:lang w:val="en-US"/>
        </w:rPr>
        <w:t>1 here&gt;</w:t>
      </w:r>
    </w:p>
    <w:p w:rsidR="00EF56A6" w:rsidRPr="00AD22A1" w:rsidRDefault="00EF56A6" w:rsidP="00BE662C">
      <w:pPr>
        <w:spacing w:after="120" w:line="360" w:lineRule="auto"/>
        <w:jc w:val="both"/>
      </w:pPr>
    </w:p>
    <w:p w:rsidR="00EF56A6" w:rsidRDefault="00156266" w:rsidP="00BE662C">
      <w:pPr>
        <w:spacing w:after="120" w:line="360" w:lineRule="auto"/>
        <w:jc w:val="both"/>
      </w:pPr>
      <w:r>
        <w:t>R</w:t>
      </w:r>
      <w:r w:rsidR="00E32DD6">
        <w:t>espondent</w:t>
      </w:r>
      <w:r w:rsidR="00B4501C">
        <w:t>s</w:t>
      </w:r>
      <w:r>
        <w:t xml:space="preserve"> were asked whether their</w:t>
      </w:r>
      <w:r w:rsidR="00E32DD6">
        <w:t xml:space="preserve"> laboratory paid licence fees or royalties (other than those included in the price of</w:t>
      </w:r>
      <w:r w:rsidR="00E32DD6">
        <w:rPr>
          <w:i/>
        </w:rPr>
        <w:t xml:space="preserve"> </w:t>
      </w:r>
      <w:r w:rsidR="00E32DD6">
        <w:t xml:space="preserve">a commercial kit) </w:t>
      </w:r>
      <w:r w:rsidR="005548FE">
        <w:t>to provide genetic tests. T</w:t>
      </w:r>
      <w:r w:rsidR="00E32DD6">
        <w:t>hree (12.5%) responded in the affirmative, which is a significant reduction from the 36 percent in the</w:t>
      </w:r>
      <w:r w:rsidR="005548FE">
        <w:t xml:space="preserve"> </w:t>
      </w:r>
      <w:r w:rsidR="00E32DD6">
        <w:t>2002-2003 study. This may be readily explained by the fact that the PCR</w:t>
      </w:r>
      <w:r w:rsidR="005548FE">
        <w:t>-re</w:t>
      </w:r>
      <w:r w:rsidR="00B4501C">
        <w:t>l</w:t>
      </w:r>
      <w:r w:rsidR="005548FE">
        <w:t>ated</w:t>
      </w:r>
      <w:r w:rsidR="00E32DD6">
        <w:t xml:space="preserve"> patents have now expired</w:t>
      </w:r>
      <w:r w:rsidR="00076C26">
        <w:t>.</w:t>
      </w:r>
      <w:r w:rsidR="00E32DD6">
        <w:t xml:space="preserve"> </w:t>
      </w:r>
      <w:r w:rsidR="00F43349">
        <w:t>Of the three</w:t>
      </w:r>
      <w:r w:rsidR="001A0812">
        <w:t xml:space="preserve"> in</w:t>
      </w:r>
      <w:r w:rsidR="00F43349">
        <w:t xml:space="preserve"> the present survey, two were from private companies and one from a publicly listed company</w:t>
      </w:r>
      <w:r w:rsidR="005548FE">
        <w:t>. O</w:t>
      </w:r>
      <w:r w:rsidR="00AF2FD8">
        <w:t xml:space="preserve">n this basis </w:t>
      </w:r>
      <w:r w:rsidR="00EF56A6" w:rsidRPr="00AD22A1">
        <w:t xml:space="preserve">there </w:t>
      </w:r>
      <w:r w:rsidR="00B4501C">
        <w:t>would seem to be</w:t>
      </w:r>
      <w:r w:rsidR="00EF56A6" w:rsidRPr="00AD22A1">
        <w:t xml:space="preserve"> little indication that holders of patents related to </w:t>
      </w:r>
      <w:r w:rsidR="008238B9">
        <w:t>genetic diagnostics</w:t>
      </w:r>
      <w:r w:rsidR="00EF56A6" w:rsidRPr="00AD22A1">
        <w:t xml:space="preserve"> </w:t>
      </w:r>
      <w:r w:rsidR="00AF2FD8">
        <w:t>are</w:t>
      </w:r>
      <w:r w:rsidR="00EF56A6" w:rsidRPr="00AD22A1">
        <w:t xml:space="preserve"> actively enforcing </w:t>
      </w:r>
      <w:r w:rsidR="005548FE">
        <w:t>them</w:t>
      </w:r>
      <w:r w:rsidR="00EF56A6" w:rsidRPr="00AD22A1">
        <w:t xml:space="preserve"> against Australian genetic testing laboratories</w:t>
      </w:r>
      <w:r w:rsidR="00B4501C">
        <w:t xml:space="preserve"> </w:t>
      </w:r>
      <w:r w:rsidR="00076C26">
        <w:t>in the public sector</w:t>
      </w:r>
      <w:r w:rsidR="00EF56A6" w:rsidRPr="00AD22A1">
        <w:t xml:space="preserve">. </w:t>
      </w:r>
    </w:p>
    <w:p w:rsidR="00AF2FD8" w:rsidRDefault="00AF2FD8" w:rsidP="00BE662C">
      <w:pPr>
        <w:spacing w:after="120" w:line="360" w:lineRule="auto"/>
        <w:jc w:val="both"/>
      </w:pPr>
      <w:r>
        <w:t xml:space="preserve">The issue of enforcement </w:t>
      </w:r>
      <w:r w:rsidR="00076C26">
        <w:t xml:space="preserve">was pursued </w:t>
      </w:r>
      <w:r>
        <w:t>further by asking respondents whether they had received a formalised cease and desist letter or a letter</w:t>
      </w:r>
      <w:r w:rsidRPr="00AF2FD8">
        <w:t xml:space="preserve"> </w:t>
      </w:r>
      <w:r>
        <w:t>of notification from third party patent holders about their patent rights</w:t>
      </w:r>
      <w:r w:rsidR="00B4501C">
        <w:t xml:space="preserve"> both</w:t>
      </w:r>
      <w:r>
        <w:t xml:space="preserve"> prior to and since the beginning of 2010, to </w:t>
      </w:r>
      <w:r w:rsidR="00786409">
        <w:t xml:space="preserve">provide some evidence </w:t>
      </w:r>
      <w:r w:rsidR="005548FE">
        <w:t>as to</w:t>
      </w:r>
      <w:r>
        <w:t xml:space="preserve"> whether such notifications are increas</w:t>
      </w:r>
      <w:r w:rsidR="00786409">
        <w:t>ing in quantum</w:t>
      </w:r>
      <w:r>
        <w:t>. Three respondents (12.5% of the sample) said that they had received notifications since the start of 2010, and nine (37.5%, including the three who re</w:t>
      </w:r>
      <w:r w:rsidR="0030289D">
        <w:t>spon</w:t>
      </w:r>
      <w:r>
        <w:t xml:space="preserve">ded affirmatively to the previous question) </w:t>
      </w:r>
      <w:r w:rsidR="00B4501C">
        <w:t>reported that they h</w:t>
      </w:r>
      <w:r w:rsidR="003E5075">
        <w:t>a</w:t>
      </w:r>
      <w:r w:rsidR="00B4501C">
        <w:t xml:space="preserve">d </w:t>
      </w:r>
      <w:r w:rsidR="00076C26">
        <w:t>received notifications</w:t>
      </w:r>
      <w:r>
        <w:t xml:space="preserve"> prior to 2010.</w:t>
      </w:r>
    </w:p>
    <w:p w:rsidR="006F5B45" w:rsidRDefault="0030289D" w:rsidP="00BE662C">
      <w:pPr>
        <w:spacing w:after="120" w:line="360" w:lineRule="auto"/>
        <w:jc w:val="both"/>
      </w:pPr>
      <w:r>
        <w:t xml:space="preserve">The three who </w:t>
      </w:r>
      <w:r w:rsidR="005548FE">
        <w:t>received</w:t>
      </w:r>
      <w:r w:rsidR="006F5B45">
        <w:t xml:space="preserve"> notifications since the start of 2010 </w:t>
      </w:r>
      <w:r>
        <w:t xml:space="preserve">were all from public hospitals. One identified BRCA 1 and </w:t>
      </w:r>
      <w:proofErr w:type="gramStart"/>
      <w:r>
        <w:t>2, but</w:t>
      </w:r>
      <w:proofErr w:type="gramEnd"/>
      <w:r>
        <w:t xml:space="preserve"> co</w:t>
      </w:r>
      <w:r w:rsidR="00786409">
        <w:t xml:space="preserve">uld not remember the exact date (suggesting that this </w:t>
      </w:r>
      <w:r w:rsidR="00B4501C">
        <w:t>could</w:t>
      </w:r>
      <w:r w:rsidR="00786409">
        <w:t xml:space="preserve"> have been before 2010). T</w:t>
      </w:r>
      <w:r>
        <w:t xml:space="preserve">he second could not precisely </w:t>
      </w:r>
      <w:r w:rsidR="00627B5C">
        <w:t>recall</w:t>
      </w:r>
      <w:r>
        <w:t xml:space="preserve"> the </w:t>
      </w:r>
      <w:r w:rsidR="00786409">
        <w:t>details of the notification</w:t>
      </w:r>
      <w:r>
        <w:t xml:space="preserve">. The third referred to maternal cell contamination testing for prenatal samples using STR </w:t>
      </w:r>
      <w:r w:rsidR="00076C26">
        <w:t xml:space="preserve">(short tandem repeat) </w:t>
      </w:r>
      <w:r>
        <w:t xml:space="preserve">methodology. </w:t>
      </w:r>
      <w:r w:rsidR="006F5B45">
        <w:t xml:space="preserve">Of the nine respondents who </w:t>
      </w:r>
      <w:r w:rsidR="005548FE">
        <w:t xml:space="preserve">received </w:t>
      </w:r>
      <w:r w:rsidR="006F5B45">
        <w:t xml:space="preserve">notifications prior to 2010, eight were from public hospitals and one was from a private hospital. </w:t>
      </w:r>
      <w:r w:rsidR="00627B5C">
        <w:t xml:space="preserve">Four listed BRCA 1 or BRCA 1 and 2 as the relevant genetic tests, one identified PCR, one again could not precisely recall </w:t>
      </w:r>
      <w:r w:rsidR="00786409">
        <w:t xml:space="preserve">details of the notification </w:t>
      </w:r>
      <w:r w:rsidR="00627B5C">
        <w:t xml:space="preserve">and one again referred to STR methodology. Two did not provide specific responses to this question. </w:t>
      </w:r>
    </w:p>
    <w:p w:rsidR="00627B5C" w:rsidRPr="00627B5C" w:rsidRDefault="00770E85" w:rsidP="00BE662C">
      <w:pPr>
        <w:spacing w:after="120" w:line="360" w:lineRule="auto"/>
        <w:jc w:val="both"/>
      </w:pPr>
      <w:r>
        <w:lastRenderedPageBreak/>
        <w:t>Respondents were then asked ab</w:t>
      </w:r>
      <w:r w:rsidR="003975FA">
        <w:t>o</w:t>
      </w:r>
      <w:r>
        <w:t xml:space="preserve">ut the </w:t>
      </w:r>
      <w:r w:rsidR="003975FA">
        <w:t>potential for patents owned by third parties to detrimentally impact on the delivery of genetic tests. Four options were provided, each of  which were identified as possible problems in the earlier Nicol and Nielsen study (it should be noted that delays in processing time have arisen in the past when a patent holder demands that the test has to be performed in a particular laboratory).</w:t>
      </w:r>
      <w:r w:rsidR="003975FA">
        <w:rPr>
          <w:vertAlign w:val="superscript"/>
        </w:rPr>
        <w:t>22</w:t>
      </w:r>
      <w:r w:rsidR="003975FA">
        <w:t xml:space="preserve"> </w:t>
      </w:r>
      <w:r w:rsidR="00E11B25">
        <w:t xml:space="preserve">All respondents were </w:t>
      </w:r>
      <w:r w:rsidR="00264765">
        <w:t xml:space="preserve">asked to answer </w:t>
      </w:r>
      <w:r w:rsidR="007574F3">
        <w:t>‘</w:t>
      </w:r>
      <w:r w:rsidR="00264765">
        <w:t>yes</w:t>
      </w:r>
      <w:r w:rsidR="007574F3">
        <w:t>’</w:t>
      </w:r>
      <w:r w:rsidR="00264765">
        <w:t xml:space="preserve"> or </w:t>
      </w:r>
      <w:r w:rsidR="007574F3">
        <w:t>‘</w:t>
      </w:r>
      <w:r w:rsidR="00264765">
        <w:t>no</w:t>
      </w:r>
      <w:r w:rsidR="007574F3">
        <w:t>’</w:t>
      </w:r>
      <w:r w:rsidR="00264765">
        <w:t xml:space="preserve"> to questions about whether</w:t>
      </w:r>
      <w:r w:rsidR="00327151">
        <w:t xml:space="preserve"> patents owned by third parties could result in</w:t>
      </w:r>
      <w:r w:rsidR="00627B5C" w:rsidRPr="00627B5C">
        <w:t>:</w:t>
      </w:r>
    </w:p>
    <w:p w:rsidR="00627B5C" w:rsidRPr="00627B5C" w:rsidRDefault="00627B5C" w:rsidP="00BE662C">
      <w:pPr>
        <w:pStyle w:val="ListParagraph"/>
        <w:numPr>
          <w:ilvl w:val="0"/>
          <w:numId w:val="2"/>
        </w:numPr>
        <w:spacing w:after="120" w:line="360" w:lineRule="auto"/>
        <w:jc w:val="both"/>
      </w:pPr>
      <w:r w:rsidRPr="00627B5C">
        <w:t>inability to utilise improvements</w:t>
      </w:r>
      <w:r w:rsidR="00E11B25">
        <w:t xml:space="preserve"> to diagnostic tests</w:t>
      </w:r>
      <w:r w:rsidRPr="00627B5C">
        <w:t>;</w:t>
      </w:r>
    </w:p>
    <w:p w:rsidR="00627B5C" w:rsidRPr="00627B5C" w:rsidRDefault="00327151" w:rsidP="00BE662C">
      <w:pPr>
        <w:pStyle w:val="ListParagraph"/>
        <w:numPr>
          <w:ilvl w:val="0"/>
          <w:numId w:val="2"/>
        </w:numPr>
        <w:spacing w:after="120" w:line="360" w:lineRule="auto"/>
        <w:jc w:val="both"/>
      </w:pPr>
      <w:r>
        <w:t xml:space="preserve">unnecessary extension of </w:t>
      </w:r>
      <w:r w:rsidR="00627B5C" w:rsidRPr="00627B5C">
        <w:t>processing time;</w:t>
      </w:r>
    </w:p>
    <w:p w:rsidR="00627B5C" w:rsidRPr="00627B5C" w:rsidRDefault="00627B5C" w:rsidP="00BE662C">
      <w:pPr>
        <w:pStyle w:val="ListParagraph"/>
        <w:numPr>
          <w:ilvl w:val="0"/>
          <w:numId w:val="2"/>
        </w:numPr>
        <w:spacing w:after="120" w:line="360" w:lineRule="auto"/>
        <w:jc w:val="both"/>
      </w:pPr>
      <w:r w:rsidRPr="00627B5C">
        <w:t>restrictions on giving second opinions; and</w:t>
      </w:r>
    </w:p>
    <w:p w:rsidR="00627B5C" w:rsidRPr="00627B5C" w:rsidRDefault="00327151" w:rsidP="00BE662C">
      <w:pPr>
        <w:pStyle w:val="ListParagraph"/>
        <w:numPr>
          <w:ilvl w:val="0"/>
          <w:numId w:val="2"/>
        </w:numPr>
        <w:spacing w:after="120" w:line="360" w:lineRule="auto"/>
        <w:jc w:val="both"/>
      </w:pPr>
      <w:r>
        <w:t>decision</w:t>
      </w:r>
      <w:r w:rsidR="00786409">
        <w:t>s</w:t>
      </w:r>
      <w:r>
        <w:t xml:space="preserve"> not to provide</w:t>
      </w:r>
      <w:r w:rsidR="00627B5C" w:rsidRPr="00627B5C">
        <w:t xml:space="preserve"> additional tests.</w:t>
      </w:r>
    </w:p>
    <w:p w:rsidR="00EF56A6" w:rsidRDefault="00627B5C" w:rsidP="00BE662C">
      <w:pPr>
        <w:spacing w:after="120" w:line="360" w:lineRule="auto"/>
        <w:jc w:val="both"/>
      </w:pPr>
      <w:r>
        <w:t xml:space="preserve">The first question elicited </w:t>
      </w:r>
      <w:r w:rsidR="00B4501C">
        <w:t>five positive response</w:t>
      </w:r>
      <w:r>
        <w:t>s (20.8 percent of the sample)</w:t>
      </w:r>
      <w:r w:rsidR="00770E85">
        <w:t xml:space="preserve"> and 19 negative responses</w:t>
      </w:r>
      <w:r w:rsidR="005548FE">
        <w:t xml:space="preserve">; </w:t>
      </w:r>
      <w:r w:rsidR="003E5075">
        <w:t xml:space="preserve">there was one positive response </w:t>
      </w:r>
      <w:r w:rsidR="00770E85">
        <w:t xml:space="preserve">and 22 negative responses </w:t>
      </w:r>
      <w:r>
        <w:t xml:space="preserve">to </w:t>
      </w:r>
      <w:r w:rsidR="00770E85">
        <w:t xml:space="preserve">each of </w:t>
      </w:r>
      <w:r>
        <w:t>the middle two questions and two</w:t>
      </w:r>
      <w:r w:rsidR="00770E85">
        <w:t xml:space="preserve"> positive responses and 22 negative responses</w:t>
      </w:r>
      <w:r>
        <w:t xml:space="preserve"> to the final question. </w:t>
      </w:r>
      <w:r w:rsidR="00770E85">
        <w:t xml:space="preserve">These results suggest that few respondents have concerns at the present time that patents have a detrimental impact on delivery of genetic tests.  </w:t>
      </w:r>
    </w:p>
    <w:p w:rsidR="00F8308A" w:rsidRDefault="00F8308A" w:rsidP="00BE662C">
      <w:pPr>
        <w:keepNext/>
        <w:spacing w:after="120" w:line="360" w:lineRule="auto"/>
        <w:jc w:val="both"/>
        <w:rPr>
          <w:i/>
        </w:rPr>
      </w:pPr>
      <w:r>
        <w:rPr>
          <w:i/>
        </w:rPr>
        <w:t>Concerns and protections</w:t>
      </w:r>
    </w:p>
    <w:p w:rsidR="00F8308A" w:rsidRDefault="00264765" w:rsidP="00BE662C">
      <w:pPr>
        <w:spacing w:after="120" w:line="360" w:lineRule="auto"/>
        <w:jc w:val="both"/>
      </w:pPr>
      <w:r>
        <w:t>Although it appears</w:t>
      </w:r>
      <w:r w:rsidR="003E5075">
        <w:t xml:space="preserve"> that Australian genetic testing laboratories are facing few demands licensing and royalty payments,</w:t>
      </w:r>
      <w:r w:rsidR="00F8308A">
        <w:t xml:space="preserve"> and </w:t>
      </w:r>
      <w:r w:rsidR="00B4501C">
        <w:t xml:space="preserve">few </w:t>
      </w:r>
      <w:r w:rsidR="00F8308A">
        <w:t>notifications from patent owners</w:t>
      </w:r>
      <w:r w:rsidR="00327151">
        <w:t xml:space="preserve">, </w:t>
      </w:r>
      <w:r w:rsidR="00F8308A">
        <w:t xml:space="preserve">a number of respondents expressed concern about the potential for third party patents to negatively </w:t>
      </w:r>
      <w:proofErr w:type="spellStart"/>
      <w:r w:rsidR="00F8308A">
        <w:t>effect</w:t>
      </w:r>
      <w:proofErr w:type="spellEnd"/>
      <w:r w:rsidR="00F8308A">
        <w:t xml:space="preserve"> the provision of genetic tests in the future</w:t>
      </w:r>
      <w:r w:rsidR="00327151">
        <w:t>.</w:t>
      </w:r>
      <w:r w:rsidR="00786409">
        <w:t xml:space="preserve"> </w:t>
      </w:r>
      <w:r>
        <w:t>On a five-point scale from extremely concerned to not concerned, s</w:t>
      </w:r>
      <w:r w:rsidR="00F8308A">
        <w:t>ix (25 percent</w:t>
      </w:r>
      <w:r w:rsidR="005548FE">
        <w:t>)</w:t>
      </w:r>
      <w:r w:rsidR="00F8308A">
        <w:t xml:space="preserve"> responded that they were extremely concerned or very concerned about this issue and four were quite concerned (16.7 percent). Even so, the majority (14 respondents, 58.3 percent) were either marginally concerned or not concerned. </w:t>
      </w:r>
      <w:r w:rsidR="004D2D0E">
        <w:t xml:space="preserve">While </w:t>
      </w:r>
      <w:r w:rsidR="00786409">
        <w:t xml:space="preserve">a greater </w:t>
      </w:r>
      <w:r w:rsidR="00B4501C">
        <w:t>proportion</w:t>
      </w:r>
      <w:r w:rsidR="00786409">
        <w:t xml:space="preserve"> of </w:t>
      </w:r>
      <w:r w:rsidR="004D2D0E">
        <w:t xml:space="preserve">the </w:t>
      </w:r>
      <w:r w:rsidR="00786409">
        <w:t xml:space="preserve">nine </w:t>
      </w:r>
      <w:r w:rsidR="004D2D0E">
        <w:t xml:space="preserve">respondents who had received notifications </w:t>
      </w:r>
      <w:r w:rsidR="00786409">
        <w:t>were</w:t>
      </w:r>
      <w:r w:rsidR="004D2D0E">
        <w:t xml:space="preserve"> </w:t>
      </w:r>
      <w:r w:rsidR="00786409">
        <w:t>more concerned than the group as a whole</w:t>
      </w:r>
      <w:r w:rsidR="004D2D0E">
        <w:t xml:space="preserve"> </w:t>
      </w:r>
      <w:r w:rsidR="00786409">
        <w:t xml:space="preserve">(33 percent, </w:t>
      </w:r>
      <w:r w:rsidR="004D2D0E">
        <w:t>with one extremely concerned</w:t>
      </w:r>
      <w:r w:rsidR="00786409">
        <w:t xml:space="preserve"> and</w:t>
      </w:r>
      <w:r w:rsidR="004D2D0E">
        <w:t xml:space="preserve"> two very </w:t>
      </w:r>
      <w:r w:rsidR="004D2D0E">
        <w:lastRenderedPageBreak/>
        <w:t>concerned</w:t>
      </w:r>
      <w:r w:rsidR="00786409">
        <w:t>)</w:t>
      </w:r>
      <w:r w:rsidR="004D2D0E">
        <w:t xml:space="preserve">, </w:t>
      </w:r>
      <w:r w:rsidR="00786409">
        <w:t xml:space="preserve">the same </w:t>
      </w:r>
      <w:r w:rsidR="00B4501C">
        <w:t>proportion</w:t>
      </w:r>
      <w:r w:rsidR="00786409">
        <w:t xml:space="preserve"> </w:t>
      </w:r>
      <w:r w:rsidR="005548FE">
        <w:t xml:space="preserve">said that they </w:t>
      </w:r>
      <w:r w:rsidR="00786409">
        <w:t xml:space="preserve">were </w:t>
      </w:r>
      <w:r w:rsidR="004D2D0E">
        <w:t xml:space="preserve">only marginally concerned (with one </w:t>
      </w:r>
      <w:r w:rsidR="007574F3">
        <w:t xml:space="preserve">other </w:t>
      </w:r>
      <w:r w:rsidR="004D2D0E">
        <w:t>respondent skipping this question</w:t>
      </w:r>
      <w:r w:rsidR="00786409" w:rsidRPr="00786409">
        <w:t xml:space="preserve"> </w:t>
      </w:r>
      <w:r w:rsidR="00786409">
        <w:t>and two quite concerned</w:t>
      </w:r>
      <w:r w:rsidR="004D2D0E">
        <w:t>).</w:t>
      </w:r>
    </w:p>
    <w:p w:rsidR="004D2D0E" w:rsidRDefault="00FB072F" w:rsidP="00BE662C">
      <w:pPr>
        <w:spacing w:after="120" w:line="360" w:lineRule="auto"/>
        <w:jc w:val="both"/>
      </w:pPr>
      <w:r>
        <w:t>Respondents were presented with t</w:t>
      </w:r>
      <w:r w:rsidR="004D2D0E">
        <w:t xml:space="preserve">hirteen mechanisms </w:t>
      </w:r>
      <w:r>
        <w:t xml:space="preserve">that might be utilised </w:t>
      </w:r>
      <w:r w:rsidR="004D2D0E">
        <w:t xml:space="preserve">to protect their laboratories from the unnecessary negative effects of third party owned patents. They were asked to rank each option </w:t>
      </w:r>
      <w:r w:rsidR="00264765">
        <w:t>on a five-point scale from</w:t>
      </w:r>
      <w:r w:rsidR="004D2D0E">
        <w:t xml:space="preserve"> extremely eff</w:t>
      </w:r>
      <w:r w:rsidR="00327151">
        <w:t>ective through to not effective</w:t>
      </w:r>
      <w:r w:rsidR="004D2D0E">
        <w:t xml:space="preserve"> </w:t>
      </w:r>
      <w:r w:rsidR="00327151">
        <w:t>(</w:t>
      </w:r>
      <w:r w:rsidR="004D2D0E">
        <w:t>or not applicable</w:t>
      </w:r>
      <w:r w:rsidR="00327151">
        <w:t>)</w:t>
      </w:r>
      <w:r w:rsidR="004D2D0E">
        <w:t xml:space="preserve">. </w:t>
      </w:r>
      <w:r w:rsidR="00327151">
        <w:t>Table</w:t>
      </w:r>
      <w:r w:rsidR="004D2D0E">
        <w:t xml:space="preserve"> </w:t>
      </w:r>
      <w:r w:rsidR="00770E85">
        <w:t xml:space="preserve">2 </w:t>
      </w:r>
      <w:r w:rsidR="004D2D0E">
        <w:t>provide</w:t>
      </w:r>
      <w:r w:rsidR="00D95F8C">
        <w:t>s</w:t>
      </w:r>
      <w:r w:rsidR="004D2D0E">
        <w:t xml:space="preserve"> resp</w:t>
      </w:r>
      <w:r w:rsidR="004808B7">
        <w:t>onses for</w:t>
      </w:r>
      <w:r w:rsidR="00156266">
        <w:t xml:space="preserve"> the sample as a whole</w:t>
      </w:r>
      <w:r w:rsidR="004808B7">
        <w:t>.</w:t>
      </w:r>
    </w:p>
    <w:p w:rsidR="004808B7" w:rsidRDefault="004808B7" w:rsidP="00BE662C">
      <w:pPr>
        <w:spacing w:after="120" w:line="360" w:lineRule="auto"/>
        <w:jc w:val="both"/>
      </w:pPr>
    </w:p>
    <w:p w:rsidR="00156266" w:rsidRDefault="004808B7" w:rsidP="00BE662C">
      <w:pPr>
        <w:spacing w:after="120" w:line="360" w:lineRule="auto"/>
        <w:jc w:val="both"/>
      </w:pPr>
      <w:r>
        <w:t xml:space="preserve">&lt;Insert Table </w:t>
      </w:r>
      <w:r w:rsidR="00770E85">
        <w:t xml:space="preserve">2 </w:t>
      </w:r>
      <w:r>
        <w:t>here&gt;</w:t>
      </w:r>
    </w:p>
    <w:p w:rsidR="00156266" w:rsidRDefault="00156266" w:rsidP="00BE662C">
      <w:pPr>
        <w:spacing w:after="120" w:line="360" w:lineRule="auto"/>
        <w:jc w:val="both"/>
      </w:pPr>
    </w:p>
    <w:p w:rsidR="00474B86" w:rsidRDefault="00FB072F" w:rsidP="00BE662C">
      <w:pPr>
        <w:spacing w:after="120" w:line="360" w:lineRule="auto"/>
        <w:jc w:val="both"/>
      </w:pPr>
      <w:r>
        <w:t xml:space="preserve">Table </w:t>
      </w:r>
      <w:r w:rsidR="00770E85">
        <w:t xml:space="preserve">2 </w:t>
      </w:r>
      <w:r>
        <w:t xml:space="preserve">shows that there was a wide diversity of views of the applicability of the listed mechanisms. Using </w:t>
      </w:r>
      <w:r w:rsidR="00381CCC">
        <w:t xml:space="preserve">average ratings (with extremely effective as </w:t>
      </w:r>
      <w:r w:rsidR="00474B86">
        <w:t>4</w:t>
      </w:r>
      <w:r w:rsidR="007574F3">
        <w:t>,</w:t>
      </w:r>
      <w:r w:rsidR="00381CCC">
        <w:t xml:space="preserve"> not effective as </w:t>
      </w:r>
      <w:r w:rsidR="00474B86">
        <w:t xml:space="preserve">0, </w:t>
      </w:r>
      <w:r w:rsidR="005548FE">
        <w:t>and</w:t>
      </w:r>
      <w:r w:rsidR="00474B86">
        <w:t xml:space="preserve"> not applicable not scored) </w:t>
      </w:r>
      <w:r>
        <w:t xml:space="preserve">for each category, </w:t>
      </w:r>
      <w:r w:rsidR="00474B86">
        <w:t xml:space="preserve">the highest ratings </w:t>
      </w:r>
      <w:r>
        <w:t xml:space="preserve">were </w:t>
      </w:r>
      <w:r w:rsidR="00474B86">
        <w:t xml:space="preserve">for: negotiating a licence (2.21); going to the media/public (2.0); relying on the government to take action (1.78); and ignoring patent rights </w:t>
      </w:r>
      <w:r>
        <w:t>(</w:t>
      </w:r>
      <w:r w:rsidR="00474B86">
        <w:t>1.76). Lowest scores were for: acquiring the third party (0.63); litigating (0.70); and initiating legal action to obtain a compulsory licence (1.18).</w:t>
      </w:r>
      <w:r w:rsidR="00783D93">
        <w:t xml:space="preserve"> </w:t>
      </w:r>
      <w:r w:rsidR="007574F3">
        <w:t>Not unexpectedly,</w:t>
      </w:r>
      <w:r w:rsidR="00783D93">
        <w:t xml:space="preserve"> acquiring a third party rank</w:t>
      </w:r>
      <w:r w:rsidR="001A7B84">
        <w:t>ed</w:t>
      </w:r>
      <w:r w:rsidR="00783D93">
        <w:t xml:space="preserve"> highest for the ‘not applicable’ option (12</w:t>
      </w:r>
      <w:r w:rsidR="005548FE">
        <w:t xml:space="preserve"> respondents</w:t>
      </w:r>
      <w:r w:rsidR="00783D93">
        <w:t>)</w:t>
      </w:r>
      <w:r w:rsidR="007574F3">
        <w:t xml:space="preserve"> - on the basis that this would not be an option for public laboratories -</w:t>
      </w:r>
      <w:r w:rsidR="00783D93">
        <w:t xml:space="preserve"> followed by compulsory licensing and litigating (both </w:t>
      </w:r>
      <w:r w:rsidR="007574F3">
        <w:t>nine</w:t>
      </w:r>
      <w:r w:rsidR="005548FE">
        <w:t xml:space="preserve"> respondents</w:t>
      </w:r>
      <w:r w:rsidR="00783D93">
        <w:t>).</w:t>
      </w:r>
    </w:p>
    <w:p w:rsidR="00D70778" w:rsidRDefault="00D70778" w:rsidP="00BE662C">
      <w:pPr>
        <w:spacing w:after="120" w:line="360" w:lineRule="auto"/>
        <w:jc w:val="both"/>
      </w:pPr>
      <w:r>
        <w:t xml:space="preserve">In general, the </w:t>
      </w:r>
      <w:r w:rsidR="007574F3">
        <w:t>nine</w:t>
      </w:r>
      <w:r>
        <w:t xml:space="preserve"> respondents who received third party notifications prior to 2010 followed the trends for the survey as a whole, although there tended to be rather more support for the option of going to the media (an average ranking of 2.43</w:t>
      </w:r>
      <w:r w:rsidR="00D95F8C">
        <w:t>)</w:t>
      </w:r>
      <w:r>
        <w:t xml:space="preserve">. In contrast, there was much less support for compulsory licensing, with only one respondent ranking it as moderately effective.  </w:t>
      </w:r>
    </w:p>
    <w:p w:rsidR="00EF56A6" w:rsidRDefault="00D70778" w:rsidP="00BE662C">
      <w:pPr>
        <w:keepNext/>
        <w:spacing w:after="120" w:line="360" w:lineRule="auto"/>
        <w:jc w:val="both"/>
        <w:rPr>
          <w:b/>
        </w:rPr>
      </w:pPr>
      <w:r>
        <w:rPr>
          <w:b/>
        </w:rPr>
        <w:t>Discussion</w:t>
      </w:r>
    </w:p>
    <w:p w:rsidR="00BA3AED" w:rsidRPr="00575B1A" w:rsidRDefault="00BA3AED" w:rsidP="00BE662C">
      <w:pPr>
        <w:spacing w:after="120" w:line="360" w:lineRule="auto"/>
        <w:jc w:val="both"/>
        <w:rPr>
          <w:szCs w:val="24"/>
        </w:rPr>
      </w:pPr>
      <w:r>
        <w:rPr>
          <w:szCs w:val="24"/>
        </w:rPr>
        <w:t xml:space="preserve">A primary goal of this survey was to identify </w:t>
      </w:r>
      <w:r w:rsidR="00BE662C">
        <w:rPr>
          <w:szCs w:val="24"/>
        </w:rPr>
        <w:t xml:space="preserve">potential </w:t>
      </w:r>
      <w:r>
        <w:rPr>
          <w:szCs w:val="24"/>
        </w:rPr>
        <w:t xml:space="preserve">negative aspects of patents on provision of genetic diagnostics tests. As one respondent reminded us, the survey did </w:t>
      </w:r>
      <w:r>
        <w:rPr>
          <w:szCs w:val="24"/>
        </w:rPr>
        <w:lastRenderedPageBreak/>
        <w:t xml:space="preserve">not investigate the positive aspects of patents. </w:t>
      </w:r>
      <w:r w:rsidR="00BE662C">
        <w:rPr>
          <w:szCs w:val="24"/>
        </w:rPr>
        <w:t>This needs to be taken into account in interpreting survey outcomes</w:t>
      </w:r>
      <w:r>
        <w:rPr>
          <w:szCs w:val="24"/>
        </w:rPr>
        <w:t>.</w:t>
      </w:r>
    </w:p>
    <w:p w:rsidR="00156266" w:rsidRDefault="00FB072F" w:rsidP="00BE662C">
      <w:pPr>
        <w:spacing w:after="120" w:line="360" w:lineRule="auto"/>
        <w:jc w:val="both"/>
      </w:pPr>
      <w:r>
        <w:t>The</w:t>
      </w:r>
      <w:r w:rsidR="00264765">
        <w:t>se</w:t>
      </w:r>
      <w:r>
        <w:t xml:space="preserve"> results </w:t>
      </w:r>
      <w:r w:rsidR="00D95F8C">
        <w:t>show</w:t>
      </w:r>
      <w:r>
        <w:t xml:space="preserve"> that most genetic testing is done in public hospitals and other non-profit institutions in Australia. </w:t>
      </w:r>
      <w:r w:rsidR="00156266" w:rsidRPr="00AD22A1">
        <w:t>In contrast, US stud</w:t>
      </w:r>
      <w:r w:rsidR="00156266">
        <w:t xml:space="preserve">ies have shown </w:t>
      </w:r>
      <w:r w:rsidR="00264765">
        <w:t xml:space="preserve">much </w:t>
      </w:r>
      <w:r w:rsidR="007574F3">
        <w:t>higher levels of</w:t>
      </w:r>
      <w:r w:rsidR="00264765">
        <w:t xml:space="preserve"> </w:t>
      </w:r>
      <w:r w:rsidR="00156266" w:rsidRPr="00AD22A1">
        <w:t>private sector</w:t>
      </w:r>
      <w:r w:rsidR="00264765">
        <w:t xml:space="preserve"> invo</w:t>
      </w:r>
      <w:r w:rsidR="007574F3">
        <w:t>lv</w:t>
      </w:r>
      <w:r w:rsidR="00264765">
        <w:t>ement</w:t>
      </w:r>
      <w:r w:rsidR="00156266">
        <w:t xml:space="preserve"> in that jurisdiction</w:t>
      </w:r>
      <w:r w:rsidR="00264765">
        <w:t>.</w:t>
      </w:r>
      <w:r w:rsidR="00156266" w:rsidRPr="00AD22A1">
        <w:t xml:space="preserve"> </w:t>
      </w:r>
      <w:r w:rsidR="00156266">
        <w:t>It has been suggested previously that this difference may go some way to explaining differences in reports of patent enforcement activities between jurisdictions, with more interest on the part of patent holders in pursuing profit-making than non-profit-making entities.</w:t>
      </w:r>
      <w:r w:rsidR="003C76CF">
        <w:rPr>
          <w:vertAlign w:val="superscript"/>
        </w:rPr>
        <w:t>9</w:t>
      </w:r>
      <w:r w:rsidR="00156266">
        <w:t xml:space="preserve"> Differences in quantum of tests between jurisdictions (with far more tests performed in the US</w:t>
      </w:r>
      <w:r w:rsidR="00AB2A34">
        <w:t>A</w:t>
      </w:r>
      <w:r w:rsidR="00156266">
        <w:t xml:space="preserve">) may also provide some explanation, on the basis that it is more worthwhile for patent holders to seek licence fees where turnover is greatest. </w:t>
      </w:r>
    </w:p>
    <w:p w:rsidR="00C360DD" w:rsidRDefault="00EF7742" w:rsidP="00BE662C">
      <w:pPr>
        <w:spacing w:after="120" w:line="360" w:lineRule="auto"/>
        <w:jc w:val="both"/>
      </w:pPr>
      <w:r>
        <w:t xml:space="preserve">The results of this survey show that </w:t>
      </w:r>
      <w:r w:rsidR="005E0F71">
        <w:t xml:space="preserve">while the number of respondents </w:t>
      </w:r>
      <w:r w:rsidR="00D95F8C">
        <w:t xml:space="preserve">actually </w:t>
      </w:r>
      <w:r w:rsidR="005E0F71">
        <w:t>paying licence fees and/or royalties has decreased, more</w:t>
      </w:r>
      <w:r w:rsidR="00C360DD" w:rsidRPr="00AD22A1">
        <w:t xml:space="preserve"> notifications of patent rights from third parties </w:t>
      </w:r>
      <w:r w:rsidR="005E0F71">
        <w:t xml:space="preserve">were reported </w:t>
      </w:r>
      <w:r w:rsidR="00C360DD" w:rsidRPr="00AD22A1">
        <w:t xml:space="preserve">than in </w:t>
      </w:r>
      <w:r>
        <w:t>the earlier</w:t>
      </w:r>
      <w:r w:rsidR="00C360DD" w:rsidRPr="00AD22A1">
        <w:t xml:space="preserve"> Australian study undertaken </w:t>
      </w:r>
      <w:r w:rsidR="003C76CF">
        <w:t xml:space="preserve">in </w:t>
      </w:r>
      <w:r w:rsidR="00C360DD" w:rsidRPr="00AD22A1">
        <w:t>2002-2003.</w:t>
      </w:r>
      <w:r w:rsidR="003C76CF">
        <w:rPr>
          <w:vertAlign w:val="superscript"/>
        </w:rPr>
        <w:t>9,23</w:t>
      </w:r>
      <w:r w:rsidR="00C360DD" w:rsidRPr="00AD22A1">
        <w:t xml:space="preserve"> However, </w:t>
      </w:r>
      <w:r>
        <w:t>many</w:t>
      </w:r>
      <w:r w:rsidR="00C360DD" w:rsidRPr="00AD22A1">
        <w:t xml:space="preserve"> of these </w:t>
      </w:r>
      <w:r w:rsidR="00D95F8C">
        <w:t>notification</w:t>
      </w:r>
      <w:r w:rsidR="00A0103C">
        <w:t>s</w:t>
      </w:r>
      <w:r w:rsidR="00D95F8C">
        <w:t xml:space="preserve"> </w:t>
      </w:r>
      <w:r w:rsidR="00C360DD" w:rsidRPr="00AD22A1">
        <w:t>relate</w:t>
      </w:r>
      <w:r w:rsidR="00D95F8C">
        <w:t>d</w:t>
      </w:r>
      <w:r w:rsidR="00C360DD" w:rsidRPr="00AD22A1">
        <w:t xml:space="preserve"> to </w:t>
      </w:r>
      <w:r w:rsidR="005E0F71">
        <w:t>enforcement of the BRCA patents,</w:t>
      </w:r>
      <w:r w:rsidR="00C360DD" w:rsidRPr="00AD22A1">
        <w:t xml:space="preserve"> which </w:t>
      </w:r>
      <w:r w:rsidR="005E0F71">
        <w:t>is already known to have occurred</w:t>
      </w:r>
      <w:r w:rsidR="00C360DD" w:rsidRPr="00AD22A1">
        <w:t xml:space="preserve">. The majority of respondents indicated that they were unconcerned or marginally concerned about the risk that </w:t>
      </w:r>
      <w:proofErr w:type="gramStart"/>
      <w:r w:rsidR="00C360DD" w:rsidRPr="00AD22A1">
        <w:t>third party</w:t>
      </w:r>
      <w:proofErr w:type="gramEnd"/>
      <w:r w:rsidR="00C360DD" w:rsidRPr="00AD22A1">
        <w:t xml:space="preserve"> patent rights could affect the provision of genetic tests now or in the future. No single mechanism for shielding genetic testing from negative effects of patents </w:t>
      </w:r>
      <w:r w:rsidR="00C360DD">
        <w:t>was overwhelmingly preferred over any other, although negotiating a licence, going to the media/public and relying o</w:t>
      </w:r>
      <w:r w:rsidR="004F6E5B">
        <w:t>n</w:t>
      </w:r>
      <w:r w:rsidR="00C360DD">
        <w:t xml:space="preserve"> the government to </w:t>
      </w:r>
      <w:proofErr w:type="gramStart"/>
      <w:r w:rsidR="00C360DD">
        <w:t>take action</w:t>
      </w:r>
      <w:proofErr w:type="gramEnd"/>
      <w:r w:rsidR="00C360DD">
        <w:t xml:space="preserve"> to facilitate use of third party patent rights by genetic testing laboratories were most highly favoured</w:t>
      </w:r>
      <w:r w:rsidR="00C360DD" w:rsidRPr="00AD22A1">
        <w:t xml:space="preserve">. </w:t>
      </w:r>
      <w:r w:rsidR="00C360DD">
        <w:t>In general, there was lu</w:t>
      </w:r>
      <w:r w:rsidR="005E0F71">
        <w:t>kewarm support for most options</w:t>
      </w:r>
      <w:r w:rsidR="00D45183">
        <w:t xml:space="preserve">, </w:t>
      </w:r>
      <w:r w:rsidR="00BE662C">
        <w:t>although</w:t>
      </w:r>
      <w:r w:rsidR="00D45183">
        <w:t xml:space="preserve"> i</w:t>
      </w:r>
      <w:r w:rsidR="00A0103C">
        <w:t>t is interesting to note that going to the media/public</w:t>
      </w:r>
      <w:r w:rsidR="00E11B25">
        <w:t xml:space="preserve"> is a preferred option</w:t>
      </w:r>
      <w:r w:rsidR="00A0103C">
        <w:t xml:space="preserve">. This is a novel finding and suggests that the court of public opinion may be more influential than </w:t>
      </w:r>
      <w:r w:rsidR="00BE662C">
        <w:t>legislative or policy reform</w:t>
      </w:r>
      <w:r w:rsidR="00A0103C">
        <w:t>.</w:t>
      </w:r>
    </w:p>
    <w:p w:rsidR="00575B1A" w:rsidRPr="00575B1A" w:rsidRDefault="00575B1A" w:rsidP="00CB5CA8">
      <w:pPr>
        <w:spacing w:after="120" w:line="360" w:lineRule="auto"/>
        <w:jc w:val="both"/>
        <w:rPr>
          <w:szCs w:val="24"/>
        </w:rPr>
      </w:pPr>
      <w:r>
        <w:rPr>
          <w:szCs w:val="24"/>
        </w:rPr>
        <w:t xml:space="preserve">How might this evidence assist in the law </w:t>
      </w:r>
      <w:r w:rsidR="00AB2A34">
        <w:rPr>
          <w:szCs w:val="24"/>
        </w:rPr>
        <w:t xml:space="preserve">and policy </w:t>
      </w:r>
      <w:r>
        <w:rPr>
          <w:szCs w:val="24"/>
        </w:rPr>
        <w:t xml:space="preserve">reform process? </w:t>
      </w:r>
      <w:r w:rsidR="005E0F71">
        <w:rPr>
          <w:szCs w:val="24"/>
        </w:rPr>
        <w:t>This study does not provide compelling</w:t>
      </w:r>
      <w:r>
        <w:rPr>
          <w:szCs w:val="24"/>
        </w:rPr>
        <w:t xml:space="preserve"> evidence </w:t>
      </w:r>
      <w:r w:rsidR="005E0F71">
        <w:rPr>
          <w:szCs w:val="24"/>
        </w:rPr>
        <w:t>to support</w:t>
      </w:r>
      <w:r>
        <w:rPr>
          <w:szCs w:val="24"/>
        </w:rPr>
        <w:t xml:space="preserve"> wholesale exclusion of genes from patenting, provided that </w:t>
      </w:r>
      <w:r w:rsidR="00663B1D">
        <w:rPr>
          <w:szCs w:val="24"/>
        </w:rPr>
        <w:t xml:space="preserve">there are other effective mechanisms to guard against potential negative consequences of patent enforcement actions on provision of </w:t>
      </w:r>
      <w:r w:rsidR="00663B1D">
        <w:rPr>
          <w:szCs w:val="24"/>
        </w:rPr>
        <w:lastRenderedPageBreak/>
        <w:t xml:space="preserve">genetic tests. In this regard it is important to note that compulsory licensing is not a favoured mechanism for most respondents. </w:t>
      </w:r>
      <w:r w:rsidR="00B83E93">
        <w:rPr>
          <w:szCs w:val="24"/>
        </w:rPr>
        <w:t xml:space="preserve">One reason might </w:t>
      </w:r>
      <w:r w:rsidR="00CB5CA8">
        <w:rPr>
          <w:szCs w:val="24"/>
        </w:rPr>
        <w:t>simply be</w:t>
      </w:r>
      <w:r w:rsidR="00B83E93">
        <w:rPr>
          <w:szCs w:val="24"/>
        </w:rPr>
        <w:t xml:space="preserve"> </w:t>
      </w:r>
      <w:r w:rsidR="00CB5CA8">
        <w:rPr>
          <w:szCs w:val="24"/>
        </w:rPr>
        <w:t>that</w:t>
      </w:r>
      <w:r w:rsidR="00B83E93">
        <w:rPr>
          <w:szCs w:val="24"/>
        </w:rPr>
        <w:t xml:space="preserve"> public </w:t>
      </w:r>
      <w:r w:rsidR="00CB5CA8">
        <w:rPr>
          <w:szCs w:val="24"/>
        </w:rPr>
        <w:t xml:space="preserve">hospitals (where the majority of respondents reside) lack the capacity to litigate for compulsory licences themselves. </w:t>
      </w:r>
      <w:r w:rsidR="00663B1D">
        <w:rPr>
          <w:szCs w:val="24"/>
        </w:rPr>
        <w:t xml:space="preserve">Many respondents to this survey see reliance on </w:t>
      </w:r>
      <w:r w:rsidR="00F40B2E">
        <w:rPr>
          <w:szCs w:val="24"/>
        </w:rPr>
        <w:t>the government to take action as</w:t>
      </w:r>
      <w:r w:rsidR="00663B1D">
        <w:rPr>
          <w:szCs w:val="24"/>
        </w:rPr>
        <w:t xml:space="preserve"> being far more effective than compulsory licensing</w:t>
      </w:r>
      <w:r w:rsidR="008F1071">
        <w:rPr>
          <w:szCs w:val="24"/>
        </w:rPr>
        <w:t>, which is initiated by private parties</w:t>
      </w:r>
      <w:r w:rsidR="00663B1D">
        <w:rPr>
          <w:szCs w:val="24"/>
        </w:rPr>
        <w:t>.</w:t>
      </w:r>
      <w:r w:rsidRPr="00575B1A">
        <w:rPr>
          <w:szCs w:val="24"/>
        </w:rPr>
        <w:t xml:space="preserve"> </w:t>
      </w:r>
      <w:r w:rsidRPr="00575B1A">
        <w:rPr>
          <w:szCs w:val="24"/>
          <w:lang w:val="en-US"/>
        </w:rPr>
        <w:t>The</w:t>
      </w:r>
      <w:r w:rsidR="00663B1D">
        <w:rPr>
          <w:szCs w:val="24"/>
          <w:lang w:val="en-US"/>
        </w:rPr>
        <w:t xml:space="preserve"> so-called Crown use</w:t>
      </w:r>
      <w:r w:rsidRPr="00575B1A">
        <w:rPr>
          <w:szCs w:val="24"/>
          <w:lang w:val="en-US"/>
        </w:rPr>
        <w:t xml:space="preserve"> provisions </w:t>
      </w:r>
      <w:r w:rsidR="00663B1D">
        <w:rPr>
          <w:szCs w:val="24"/>
          <w:lang w:val="en-US"/>
        </w:rPr>
        <w:t xml:space="preserve">in Australian patent law </w:t>
      </w:r>
      <w:r w:rsidRPr="00575B1A">
        <w:rPr>
          <w:szCs w:val="24"/>
          <w:lang w:val="en-US"/>
        </w:rPr>
        <w:t xml:space="preserve">were considered during </w:t>
      </w:r>
      <w:r w:rsidR="00663B1D">
        <w:rPr>
          <w:szCs w:val="24"/>
          <w:lang w:val="en-US"/>
        </w:rPr>
        <w:t xml:space="preserve">the </w:t>
      </w:r>
      <w:r w:rsidRPr="00575B1A">
        <w:rPr>
          <w:szCs w:val="24"/>
          <w:lang w:val="en-US"/>
        </w:rPr>
        <w:t>ALR</w:t>
      </w:r>
      <w:r w:rsidR="00663B1D">
        <w:rPr>
          <w:szCs w:val="24"/>
          <w:lang w:val="en-US"/>
        </w:rPr>
        <w:t>C’s inquiry</w:t>
      </w:r>
      <w:r w:rsidRPr="00575B1A">
        <w:rPr>
          <w:szCs w:val="24"/>
          <w:lang w:val="en-US"/>
        </w:rPr>
        <w:t xml:space="preserve"> into gene patenti</w:t>
      </w:r>
      <w:r w:rsidR="00663B1D">
        <w:rPr>
          <w:szCs w:val="24"/>
          <w:lang w:val="en-US"/>
        </w:rPr>
        <w:t>ng and human health</w:t>
      </w:r>
      <w:r w:rsidRPr="00575B1A">
        <w:rPr>
          <w:szCs w:val="24"/>
          <w:lang w:val="en-US"/>
        </w:rPr>
        <w:t>.</w:t>
      </w:r>
      <w:r w:rsidR="00D95F8C">
        <w:rPr>
          <w:szCs w:val="24"/>
          <w:vertAlign w:val="superscript"/>
          <w:lang w:val="en-US"/>
        </w:rPr>
        <w:t>24</w:t>
      </w:r>
      <w:r w:rsidRPr="00575B1A">
        <w:rPr>
          <w:sz w:val="13"/>
          <w:szCs w:val="13"/>
          <w:lang w:val="en-US"/>
        </w:rPr>
        <w:t xml:space="preserve"> </w:t>
      </w:r>
      <w:r w:rsidRPr="00575B1A">
        <w:rPr>
          <w:szCs w:val="24"/>
          <w:lang w:val="en-US"/>
        </w:rPr>
        <w:t xml:space="preserve">The ALRC </w:t>
      </w:r>
      <w:r w:rsidR="00663B1D">
        <w:rPr>
          <w:szCs w:val="24"/>
          <w:lang w:val="en-US"/>
        </w:rPr>
        <w:t>concluded</w:t>
      </w:r>
      <w:r w:rsidRPr="00575B1A">
        <w:rPr>
          <w:szCs w:val="24"/>
          <w:lang w:val="en-US"/>
        </w:rPr>
        <w:t xml:space="preserve"> that the Crown use provisions have the potential to be particularly useful when access to a patented genetic invention is sought for the provision of public healthcare and, potentially, where access is required for public researc</w:t>
      </w:r>
      <w:r w:rsidR="003C76CF">
        <w:rPr>
          <w:szCs w:val="24"/>
          <w:lang w:val="en-US"/>
        </w:rPr>
        <w:t>h purposes</w:t>
      </w:r>
      <w:r w:rsidRPr="00575B1A">
        <w:rPr>
          <w:szCs w:val="24"/>
          <w:lang w:val="en-US"/>
        </w:rPr>
        <w:t>.</w:t>
      </w:r>
      <w:r w:rsidRPr="00575B1A">
        <w:rPr>
          <w:rStyle w:val="FootnoteReference"/>
          <w:rFonts w:asciiTheme="minorHAnsi" w:hAnsiTheme="minorHAnsi"/>
          <w:szCs w:val="24"/>
          <w:lang w:val="en-US"/>
        </w:rPr>
        <w:t xml:space="preserve"> </w:t>
      </w:r>
      <w:r w:rsidRPr="00575B1A">
        <w:rPr>
          <w:szCs w:val="24"/>
          <w:lang w:val="en-US"/>
        </w:rPr>
        <w:t xml:space="preserve">These considerations led the ALRC to recommend that amendments should be made to section 163 (1) of the </w:t>
      </w:r>
      <w:r w:rsidRPr="00575B1A">
        <w:rPr>
          <w:i/>
          <w:szCs w:val="24"/>
          <w:lang w:val="en-US"/>
        </w:rPr>
        <w:t>Patents Act</w:t>
      </w:r>
      <w:r w:rsidR="00B25137">
        <w:rPr>
          <w:i/>
          <w:szCs w:val="24"/>
          <w:lang w:val="en-US"/>
        </w:rPr>
        <w:t xml:space="preserve"> 1990 </w:t>
      </w:r>
      <w:r w:rsidR="00B25137">
        <w:rPr>
          <w:szCs w:val="24"/>
          <w:lang w:val="en-US"/>
        </w:rPr>
        <w:t>(</w:t>
      </w:r>
      <w:proofErr w:type="spellStart"/>
      <w:r w:rsidR="00B25137">
        <w:rPr>
          <w:szCs w:val="24"/>
          <w:lang w:val="en-US"/>
        </w:rPr>
        <w:t>Cth</w:t>
      </w:r>
      <w:proofErr w:type="spellEnd"/>
      <w:r w:rsidR="00B25137">
        <w:rPr>
          <w:szCs w:val="24"/>
          <w:lang w:val="en-US"/>
        </w:rPr>
        <w:t>)</w:t>
      </w:r>
      <w:r w:rsidRPr="00575B1A">
        <w:rPr>
          <w:i/>
          <w:szCs w:val="24"/>
          <w:lang w:val="en-US"/>
        </w:rPr>
        <w:t xml:space="preserve"> </w:t>
      </w:r>
      <w:r w:rsidRPr="00575B1A">
        <w:rPr>
          <w:szCs w:val="24"/>
          <w:lang w:val="en-US"/>
        </w:rPr>
        <w:t xml:space="preserve">to clarify that ‘for the services of the Commonwealth or of a State’ includes the provision of healthcare services or products to members of </w:t>
      </w:r>
      <w:r w:rsidR="003C76CF">
        <w:rPr>
          <w:szCs w:val="24"/>
          <w:lang w:val="en-US"/>
        </w:rPr>
        <w:t>the public</w:t>
      </w:r>
      <w:r w:rsidRPr="00575B1A">
        <w:rPr>
          <w:szCs w:val="24"/>
          <w:lang w:val="en-US"/>
        </w:rPr>
        <w:t xml:space="preserve">. </w:t>
      </w:r>
      <w:r w:rsidR="00F469AB">
        <w:rPr>
          <w:szCs w:val="24"/>
          <w:lang w:val="en-US"/>
        </w:rPr>
        <w:t xml:space="preserve">Although the government did not respond </w:t>
      </w:r>
      <w:proofErr w:type="spellStart"/>
      <w:r w:rsidR="00F469AB">
        <w:rPr>
          <w:szCs w:val="24"/>
          <w:lang w:val="en-US"/>
        </w:rPr>
        <w:t>favourably</w:t>
      </w:r>
      <w:proofErr w:type="spellEnd"/>
      <w:r w:rsidR="00F469AB">
        <w:rPr>
          <w:szCs w:val="24"/>
          <w:lang w:val="en-US"/>
        </w:rPr>
        <w:t xml:space="preserve"> to this recommendation,</w:t>
      </w:r>
      <w:r w:rsidR="00D95F8C">
        <w:rPr>
          <w:szCs w:val="24"/>
          <w:vertAlign w:val="superscript"/>
          <w:lang w:val="en-US"/>
        </w:rPr>
        <w:t>25</w:t>
      </w:r>
      <w:r w:rsidR="00F469AB">
        <w:rPr>
          <w:szCs w:val="24"/>
          <w:lang w:val="en-US"/>
        </w:rPr>
        <w:t xml:space="preserve"> </w:t>
      </w:r>
      <w:r w:rsidR="00B25137">
        <w:rPr>
          <w:szCs w:val="24"/>
          <w:lang w:val="en-US"/>
        </w:rPr>
        <w:t>the time may have come</w:t>
      </w:r>
      <w:r w:rsidR="00F469AB">
        <w:rPr>
          <w:szCs w:val="24"/>
          <w:lang w:val="en-US"/>
        </w:rPr>
        <w:t xml:space="preserve"> to reconsider this option.</w:t>
      </w:r>
    </w:p>
    <w:p w:rsidR="00CB5CA8" w:rsidRDefault="00CB5CA8" w:rsidP="00CB5CA8">
      <w:pPr>
        <w:spacing w:after="120" w:line="360" w:lineRule="auto"/>
        <w:jc w:val="both"/>
        <w:rPr>
          <w:szCs w:val="24"/>
        </w:rPr>
      </w:pPr>
      <w:r w:rsidRPr="00575B1A">
        <w:rPr>
          <w:szCs w:val="24"/>
        </w:rPr>
        <w:t>It is often argued that the very existence of compulsory licensing provisions has the effect of bringing parties to the bargainin</w:t>
      </w:r>
      <w:r>
        <w:rPr>
          <w:szCs w:val="24"/>
        </w:rPr>
        <w:t>g table and forcing negotiation</w:t>
      </w:r>
      <w:r w:rsidRPr="00575B1A">
        <w:rPr>
          <w:szCs w:val="24"/>
        </w:rPr>
        <w:t>. However, it is difficult to find con</w:t>
      </w:r>
      <w:r>
        <w:rPr>
          <w:szCs w:val="24"/>
        </w:rPr>
        <w:t>crete evidence that supports this</w:t>
      </w:r>
      <w:r w:rsidRPr="00575B1A">
        <w:rPr>
          <w:szCs w:val="24"/>
        </w:rPr>
        <w:t xml:space="preserve"> rhetoric</w:t>
      </w:r>
      <w:r>
        <w:rPr>
          <w:szCs w:val="24"/>
        </w:rPr>
        <w:t>.</w:t>
      </w:r>
      <w:r>
        <w:rPr>
          <w:szCs w:val="24"/>
          <w:vertAlign w:val="superscript"/>
        </w:rPr>
        <w:t>27</w:t>
      </w:r>
      <w:r w:rsidRPr="00575B1A">
        <w:rPr>
          <w:szCs w:val="24"/>
        </w:rPr>
        <w:t xml:space="preserve"> </w:t>
      </w:r>
      <w:r>
        <w:rPr>
          <w:szCs w:val="24"/>
        </w:rPr>
        <w:t xml:space="preserve">These results, together with as yet unpublished findings from </w:t>
      </w:r>
      <w:r w:rsidRPr="00575B1A">
        <w:rPr>
          <w:szCs w:val="24"/>
        </w:rPr>
        <w:t xml:space="preserve">interviews with researchers and providers of genetic testing services support the contention that the current </w:t>
      </w:r>
      <w:r>
        <w:rPr>
          <w:szCs w:val="24"/>
        </w:rPr>
        <w:t xml:space="preserve">compulsory licensing </w:t>
      </w:r>
      <w:r w:rsidRPr="00575B1A">
        <w:rPr>
          <w:szCs w:val="24"/>
        </w:rPr>
        <w:t>provisions are flawed. Applications for compulsory licences are widely seen as being out of reach, with cost and uncertainty being the major deciding factors.</w:t>
      </w:r>
    </w:p>
    <w:p w:rsidR="00CB5CA8" w:rsidRDefault="00CB5CA8" w:rsidP="00CB5CA8">
      <w:pPr>
        <w:spacing w:after="120" w:line="360" w:lineRule="auto"/>
        <w:jc w:val="both"/>
        <w:sectPr w:rsidR="00CB5CA8" w:rsidSect="00E6494E">
          <w:footerReference w:type="default" r:id="rId7"/>
          <w:pgSz w:w="12240" w:h="15840"/>
          <w:pgMar w:top="1440" w:right="1800" w:bottom="1440" w:left="1800" w:header="709" w:footer="709" w:gutter="0"/>
          <w:lnNumType w:countBy="1" w:restart="continuous"/>
          <w:cols w:space="709"/>
        </w:sectPr>
      </w:pPr>
    </w:p>
    <w:p w:rsidR="00EF56A6" w:rsidRPr="00274458" w:rsidRDefault="00EF56A6" w:rsidP="00BE662C">
      <w:pPr>
        <w:spacing w:after="120" w:line="360" w:lineRule="auto"/>
        <w:jc w:val="both"/>
        <w:outlineLvl w:val="0"/>
        <w:rPr>
          <w:b/>
          <w:szCs w:val="24"/>
        </w:rPr>
      </w:pPr>
      <w:r w:rsidRPr="00274458">
        <w:rPr>
          <w:b/>
          <w:szCs w:val="24"/>
        </w:rPr>
        <w:lastRenderedPageBreak/>
        <w:t>References</w:t>
      </w:r>
    </w:p>
    <w:p w:rsidR="00EF56A6" w:rsidRPr="002754C5" w:rsidRDefault="00EF56A6" w:rsidP="00BE662C">
      <w:pPr>
        <w:spacing w:after="120" w:line="360" w:lineRule="auto"/>
        <w:jc w:val="both"/>
        <w:rPr>
          <w:szCs w:val="24"/>
        </w:rPr>
      </w:pPr>
      <w:r w:rsidRPr="00274458">
        <w:rPr>
          <w:szCs w:val="24"/>
        </w:rPr>
        <w:t xml:space="preserve"> </w:t>
      </w:r>
      <w:r w:rsidR="004841B9" w:rsidRPr="002754C5">
        <w:rPr>
          <w:szCs w:val="24"/>
        </w:rPr>
        <w:t>1</w:t>
      </w:r>
      <w:r w:rsidR="006B1807" w:rsidRPr="002754C5">
        <w:rPr>
          <w:szCs w:val="24"/>
        </w:rPr>
        <w:t xml:space="preserve"> Jensen</w:t>
      </w:r>
      <w:r w:rsidR="00E1741A">
        <w:rPr>
          <w:szCs w:val="24"/>
        </w:rPr>
        <w:t xml:space="preserve"> K,</w:t>
      </w:r>
      <w:r w:rsidR="006B1807" w:rsidRPr="002754C5">
        <w:rPr>
          <w:szCs w:val="24"/>
        </w:rPr>
        <w:t xml:space="preserve"> Murray</w:t>
      </w:r>
      <w:r w:rsidR="00E1741A">
        <w:rPr>
          <w:szCs w:val="24"/>
        </w:rPr>
        <w:t xml:space="preserve"> F. </w:t>
      </w:r>
      <w:r w:rsidR="006B1807" w:rsidRPr="002754C5">
        <w:rPr>
          <w:szCs w:val="24"/>
        </w:rPr>
        <w:t xml:space="preserve">Intellectual </w:t>
      </w:r>
      <w:r w:rsidR="00E1741A" w:rsidRPr="002754C5">
        <w:rPr>
          <w:szCs w:val="24"/>
        </w:rPr>
        <w:t>propert</w:t>
      </w:r>
      <w:r w:rsidR="00E1741A">
        <w:rPr>
          <w:szCs w:val="24"/>
        </w:rPr>
        <w:t>y landscape of the human genome.</w:t>
      </w:r>
      <w:r w:rsidR="00E1741A" w:rsidRPr="002754C5">
        <w:rPr>
          <w:szCs w:val="24"/>
        </w:rPr>
        <w:t xml:space="preserve"> </w:t>
      </w:r>
      <w:r w:rsidR="006B1807" w:rsidRPr="002754C5">
        <w:rPr>
          <w:i/>
          <w:szCs w:val="24"/>
        </w:rPr>
        <w:t>Science</w:t>
      </w:r>
      <w:r w:rsidR="006B1807" w:rsidRPr="002754C5">
        <w:rPr>
          <w:szCs w:val="24"/>
        </w:rPr>
        <w:t xml:space="preserve"> </w:t>
      </w:r>
      <w:r w:rsidR="00E1741A" w:rsidRPr="002754C5">
        <w:rPr>
          <w:szCs w:val="24"/>
        </w:rPr>
        <w:t>2005</w:t>
      </w:r>
      <w:r w:rsidR="00E1741A">
        <w:rPr>
          <w:szCs w:val="24"/>
        </w:rPr>
        <w:t xml:space="preserve">; </w:t>
      </w:r>
      <w:r w:rsidR="00E1741A" w:rsidRPr="002754C5">
        <w:rPr>
          <w:szCs w:val="24"/>
        </w:rPr>
        <w:t>310</w:t>
      </w:r>
      <w:r w:rsidR="00E1741A">
        <w:rPr>
          <w:szCs w:val="24"/>
        </w:rPr>
        <w:t>:</w:t>
      </w:r>
      <w:r w:rsidR="00E1741A" w:rsidRPr="002754C5">
        <w:rPr>
          <w:szCs w:val="24"/>
        </w:rPr>
        <w:t xml:space="preserve"> </w:t>
      </w:r>
      <w:r w:rsidR="006B1807" w:rsidRPr="002754C5">
        <w:rPr>
          <w:szCs w:val="24"/>
        </w:rPr>
        <w:t>239</w:t>
      </w:r>
      <w:r w:rsidR="005600F9">
        <w:rPr>
          <w:szCs w:val="24"/>
        </w:rPr>
        <w:t>-40</w:t>
      </w:r>
    </w:p>
    <w:p w:rsidR="004841B9" w:rsidRPr="002754C5" w:rsidRDefault="004841B9" w:rsidP="00BE662C">
      <w:pPr>
        <w:spacing w:after="120" w:line="360" w:lineRule="auto"/>
        <w:jc w:val="both"/>
        <w:rPr>
          <w:szCs w:val="24"/>
        </w:rPr>
      </w:pPr>
      <w:r w:rsidRPr="002754C5">
        <w:rPr>
          <w:szCs w:val="24"/>
        </w:rPr>
        <w:t xml:space="preserve">2 </w:t>
      </w:r>
      <w:r w:rsidR="006B1807" w:rsidRPr="002754C5">
        <w:rPr>
          <w:szCs w:val="24"/>
        </w:rPr>
        <w:t>Holman</w:t>
      </w:r>
      <w:r w:rsidR="005600F9" w:rsidRPr="005600F9">
        <w:rPr>
          <w:szCs w:val="24"/>
        </w:rPr>
        <w:t xml:space="preserve"> </w:t>
      </w:r>
      <w:r w:rsidR="005600F9" w:rsidRPr="002754C5">
        <w:rPr>
          <w:szCs w:val="24"/>
        </w:rPr>
        <w:t>CM</w:t>
      </w:r>
      <w:r w:rsidR="005600F9">
        <w:rPr>
          <w:szCs w:val="24"/>
        </w:rPr>
        <w:t xml:space="preserve">. </w:t>
      </w:r>
      <w:r w:rsidR="006B1807" w:rsidRPr="002754C5">
        <w:rPr>
          <w:szCs w:val="24"/>
        </w:rPr>
        <w:t xml:space="preserve">Will </w:t>
      </w:r>
      <w:r w:rsidR="005600F9" w:rsidRPr="002754C5">
        <w:rPr>
          <w:szCs w:val="24"/>
        </w:rPr>
        <w:t>gene patents i</w:t>
      </w:r>
      <w:r w:rsidR="005600F9">
        <w:rPr>
          <w:szCs w:val="24"/>
        </w:rPr>
        <w:t>mpede whole genome sequencing? D</w:t>
      </w:r>
      <w:r w:rsidR="005600F9" w:rsidRPr="002754C5">
        <w:rPr>
          <w:szCs w:val="24"/>
        </w:rPr>
        <w:t xml:space="preserve">econstructing the myth that 20% </w:t>
      </w:r>
      <w:r w:rsidR="005600F9">
        <w:rPr>
          <w:szCs w:val="24"/>
        </w:rPr>
        <w:t>of the human genome is patented.</w:t>
      </w:r>
      <w:r w:rsidR="005600F9" w:rsidRPr="002754C5">
        <w:rPr>
          <w:szCs w:val="24"/>
        </w:rPr>
        <w:t xml:space="preserve"> </w:t>
      </w:r>
      <w:r w:rsidR="006B1807" w:rsidRPr="002754C5">
        <w:rPr>
          <w:szCs w:val="24"/>
        </w:rPr>
        <w:t xml:space="preserve">2(1) </w:t>
      </w:r>
      <w:r w:rsidR="006B1807" w:rsidRPr="002754C5">
        <w:rPr>
          <w:rStyle w:val="Emphasis"/>
          <w:szCs w:val="24"/>
        </w:rPr>
        <w:t>IP Theory</w:t>
      </w:r>
      <w:r w:rsidR="006B1807" w:rsidRPr="002754C5">
        <w:rPr>
          <w:szCs w:val="24"/>
        </w:rPr>
        <w:t xml:space="preserve"> </w:t>
      </w:r>
      <w:r w:rsidR="005600F9" w:rsidRPr="002754C5">
        <w:rPr>
          <w:szCs w:val="24"/>
        </w:rPr>
        <w:t>2011</w:t>
      </w:r>
      <w:r w:rsidR="005600F9">
        <w:rPr>
          <w:szCs w:val="24"/>
        </w:rPr>
        <w:t xml:space="preserve">; 2(1): </w:t>
      </w:r>
      <w:r w:rsidR="006B1807" w:rsidRPr="002754C5">
        <w:rPr>
          <w:szCs w:val="24"/>
        </w:rPr>
        <w:t>Article 1</w:t>
      </w:r>
    </w:p>
    <w:p w:rsidR="004841B9" w:rsidRPr="002754C5" w:rsidRDefault="004841B9" w:rsidP="00BE662C">
      <w:pPr>
        <w:spacing w:after="120" w:line="360" w:lineRule="auto"/>
        <w:jc w:val="both"/>
        <w:rPr>
          <w:szCs w:val="24"/>
        </w:rPr>
      </w:pPr>
      <w:r w:rsidRPr="002754C5">
        <w:rPr>
          <w:szCs w:val="24"/>
        </w:rPr>
        <w:t xml:space="preserve">3 </w:t>
      </w:r>
      <w:proofErr w:type="spellStart"/>
      <w:r w:rsidR="006B1807" w:rsidRPr="002754C5">
        <w:rPr>
          <w:szCs w:val="24"/>
        </w:rPr>
        <w:t>Huys</w:t>
      </w:r>
      <w:proofErr w:type="spellEnd"/>
      <w:r w:rsidR="005600F9" w:rsidRPr="005600F9">
        <w:rPr>
          <w:szCs w:val="24"/>
        </w:rPr>
        <w:t xml:space="preserve"> </w:t>
      </w:r>
      <w:r w:rsidR="005600F9" w:rsidRPr="002754C5">
        <w:rPr>
          <w:szCs w:val="24"/>
        </w:rPr>
        <w:t>I</w:t>
      </w:r>
      <w:r w:rsidR="006B1807" w:rsidRPr="002754C5">
        <w:rPr>
          <w:szCs w:val="24"/>
        </w:rPr>
        <w:t xml:space="preserve">, </w:t>
      </w:r>
      <w:proofErr w:type="spellStart"/>
      <w:r w:rsidR="006B1807" w:rsidRPr="002754C5">
        <w:rPr>
          <w:szCs w:val="24"/>
        </w:rPr>
        <w:t>Berthels</w:t>
      </w:r>
      <w:proofErr w:type="spellEnd"/>
      <w:r w:rsidR="005600F9" w:rsidRPr="005600F9">
        <w:rPr>
          <w:szCs w:val="24"/>
        </w:rPr>
        <w:t xml:space="preserve"> </w:t>
      </w:r>
      <w:r w:rsidR="005600F9" w:rsidRPr="002754C5">
        <w:rPr>
          <w:szCs w:val="24"/>
        </w:rPr>
        <w:t>N</w:t>
      </w:r>
      <w:r w:rsidR="006B1807" w:rsidRPr="002754C5">
        <w:rPr>
          <w:szCs w:val="24"/>
        </w:rPr>
        <w:t>, Matthijs</w:t>
      </w:r>
      <w:r w:rsidR="005600F9" w:rsidRPr="005600F9">
        <w:rPr>
          <w:szCs w:val="24"/>
        </w:rPr>
        <w:t xml:space="preserve"> </w:t>
      </w:r>
      <w:r w:rsidR="005600F9" w:rsidRPr="002754C5">
        <w:rPr>
          <w:szCs w:val="24"/>
        </w:rPr>
        <w:t>G</w:t>
      </w:r>
      <w:r w:rsidR="006B1807" w:rsidRPr="002754C5">
        <w:rPr>
          <w:szCs w:val="24"/>
        </w:rPr>
        <w:t xml:space="preserve">, Van </w:t>
      </w:r>
      <w:proofErr w:type="spellStart"/>
      <w:r w:rsidR="006B1807" w:rsidRPr="002754C5">
        <w:rPr>
          <w:szCs w:val="24"/>
        </w:rPr>
        <w:t>Overwalle</w:t>
      </w:r>
      <w:proofErr w:type="spellEnd"/>
      <w:r w:rsidR="005600F9" w:rsidRPr="005600F9">
        <w:rPr>
          <w:szCs w:val="24"/>
        </w:rPr>
        <w:t xml:space="preserve"> </w:t>
      </w:r>
      <w:r w:rsidR="005600F9" w:rsidRPr="002754C5">
        <w:rPr>
          <w:szCs w:val="24"/>
        </w:rPr>
        <w:t>G</w:t>
      </w:r>
      <w:r w:rsidR="005600F9">
        <w:rPr>
          <w:szCs w:val="24"/>
        </w:rPr>
        <w:t xml:space="preserve">. </w:t>
      </w:r>
      <w:r w:rsidR="006B1807" w:rsidRPr="002754C5">
        <w:rPr>
          <w:szCs w:val="24"/>
        </w:rPr>
        <w:t>Legal</w:t>
      </w:r>
      <w:r w:rsidR="005600F9" w:rsidRPr="002754C5">
        <w:rPr>
          <w:szCs w:val="24"/>
        </w:rPr>
        <w:t xml:space="preserve"> uncertainty in the area of genetic diagnosti</w:t>
      </w:r>
      <w:r w:rsidR="005600F9">
        <w:rPr>
          <w:szCs w:val="24"/>
        </w:rPr>
        <w:t>c testing.</w:t>
      </w:r>
      <w:r w:rsidR="005600F9" w:rsidRPr="002754C5">
        <w:rPr>
          <w:szCs w:val="24"/>
        </w:rPr>
        <w:t xml:space="preserve"> </w:t>
      </w:r>
      <w:r w:rsidR="006B1807" w:rsidRPr="002754C5">
        <w:rPr>
          <w:i/>
          <w:szCs w:val="24"/>
        </w:rPr>
        <w:t>Nature Biotechnology</w:t>
      </w:r>
      <w:r w:rsidR="006B1807" w:rsidRPr="002754C5">
        <w:rPr>
          <w:szCs w:val="24"/>
        </w:rPr>
        <w:t xml:space="preserve"> </w:t>
      </w:r>
      <w:r w:rsidR="005600F9" w:rsidRPr="002754C5">
        <w:rPr>
          <w:szCs w:val="24"/>
        </w:rPr>
        <w:t>2009</w:t>
      </w:r>
      <w:r w:rsidR="005600F9">
        <w:rPr>
          <w:szCs w:val="24"/>
        </w:rPr>
        <w:t xml:space="preserve">; 27: </w:t>
      </w:r>
      <w:r w:rsidR="006B1807" w:rsidRPr="002754C5">
        <w:rPr>
          <w:szCs w:val="24"/>
        </w:rPr>
        <w:t>903</w:t>
      </w:r>
      <w:r w:rsidR="005600F9">
        <w:rPr>
          <w:szCs w:val="24"/>
        </w:rPr>
        <w:t>-9</w:t>
      </w:r>
    </w:p>
    <w:p w:rsidR="00420B1B" w:rsidRPr="002754C5" w:rsidRDefault="00420B1B" w:rsidP="00BE662C">
      <w:pPr>
        <w:spacing w:after="120" w:line="360" w:lineRule="auto"/>
        <w:jc w:val="both"/>
        <w:rPr>
          <w:szCs w:val="24"/>
        </w:rPr>
      </w:pPr>
      <w:r w:rsidRPr="002754C5">
        <w:rPr>
          <w:szCs w:val="24"/>
        </w:rPr>
        <w:t xml:space="preserve">4 </w:t>
      </w:r>
      <w:r w:rsidR="006B1807" w:rsidRPr="002754C5">
        <w:rPr>
          <w:szCs w:val="24"/>
        </w:rPr>
        <w:t>Gold</w:t>
      </w:r>
      <w:r w:rsidR="005600F9">
        <w:rPr>
          <w:szCs w:val="24"/>
        </w:rPr>
        <w:t xml:space="preserve"> ER,</w:t>
      </w:r>
      <w:r w:rsidR="006B1807" w:rsidRPr="002754C5">
        <w:rPr>
          <w:szCs w:val="24"/>
        </w:rPr>
        <w:t xml:space="preserve"> Carbone</w:t>
      </w:r>
      <w:r w:rsidR="005600F9">
        <w:rPr>
          <w:szCs w:val="24"/>
        </w:rPr>
        <w:t xml:space="preserve"> J. M</w:t>
      </w:r>
      <w:r w:rsidR="006B1807" w:rsidRPr="002754C5">
        <w:rPr>
          <w:szCs w:val="24"/>
        </w:rPr>
        <w:t xml:space="preserve">yriad Genetics: In the </w:t>
      </w:r>
      <w:r w:rsidR="005600F9">
        <w:rPr>
          <w:szCs w:val="24"/>
        </w:rPr>
        <w:t xml:space="preserve">eye of the policy storm. </w:t>
      </w:r>
      <w:r w:rsidR="006B1807" w:rsidRPr="002754C5">
        <w:rPr>
          <w:i/>
          <w:szCs w:val="24"/>
        </w:rPr>
        <w:t>Genetics in Medicine</w:t>
      </w:r>
      <w:r w:rsidR="006B1807" w:rsidRPr="002754C5">
        <w:rPr>
          <w:szCs w:val="24"/>
        </w:rPr>
        <w:t xml:space="preserve"> </w:t>
      </w:r>
      <w:r w:rsidR="005600F9" w:rsidRPr="002754C5">
        <w:rPr>
          <w:szCs w:val="24"/>
        </w:rPr>
        <w:t>2010</w:t>
      </w:r>
      <w:r w:rsidR="005600F9">
        <w:rPr>
          <w:szCs w:val="24"/>
        </w:rPr>
        <w:t xml:space="preserve">; 12: </w:t>
      </w:r>
      <w:r w:rsidR="006B1807" w:rsidRPr="002754C5">
        <w:rPr>
          <w:szCs w:val="24"/>
        </w:rPr>
        <w:t>S39</w:t>
      </w:r>
      <w:r w:rsidR="005600F9">
        <w:rPr>
          <w:szCs w:val="24"/>
        </w:rPr>
        <w:t>-70</w:t>
      </w:r>
    </w:p>
    <w:p w:rsidR="00420B1B" w:rsidRPr="002754C5" w:rsidRDefault="00420B1B" w:rsidP="00BE662C">
      <w:pPr>
        <w:spacing w:after="120" w:line="360" w:lineRule="auto"/>
        <w:jc w:val="both"/>
        <w:rPr>
          <w:szCs w:val="24"/>
        </w:rPr>
      </w:pPr>
      <w:r w:rsidRPr="002754C5">
        <w:rPr>
          <w:szCs w:val="24"/>
        </w:rPr>
        <w:t xml:space="preserve">5 </w:t>
      </w:r>
      <w:r w:rsidR="006B1807" w:rsidRPr="002754C5">
        <w:rPr>
          <w:szCs w:val="24"/>
        </w:rPr>
        <w:t>Cho</w:t>
      </w:r>
      <w:r w:rsidR="00161C5A">
        <w:rPr>
          <w:szCs w:val="24"/>
        </w:rPr>
        <w:t xml:space="preserve"> MK</w:t>
      </w:r>
      <w:r w:rsidR="006B1807" w:rsidRPr="002754C5">
        <w:rPr>
          <w:szCs w:val="24"/>
        </w:rPr>
        <w:t xml:space="preserve">, </w:t>
      </w:r>
      <w:proofErr w:type="spellStart"/>
      <w:r w:rsidR="006B1807" w:rsidRPr="002754C5">
        <w:rPr>
          <w:szCs w:val="24"/>
        </w:rPr>
        <w:t>Illangasekare</w:t>
      </w:r>
      <w:proofErr w:type="spellEnd"/>
      <w:r w:rsidR="00161C5A">
        <w:rPr>
          <w:szCs w:val="24"/>
        </w:rPr>
        <w:t xml:space="preserve"> S</w:t>
      </w:r>
      <w:r w:rsidR="006B1807" w:rsidRPr="002754C5">
        <w:rPr>
          <w:szCs w:val="24"/>
        </w:rPr>
        <w:t>, Weaver</w:t>
      </w:r>
      <w:r w:rsidR="00161C5A">
        <w:rPr>
          <w:szCs w:val="24"/>
        </w:rPr>
        <w:t xml:space="preserve"> MA</w:t>
      </w:r>
      <w:r w:rsidR="006B1807" w:rsidRPr="002754C5">
        <w:rPr>
          <w:szCs w:val="24"/>
        </w:rPr>
        <w:t xml:space="preserve">, Leonard </w:t>
      </w:r>
      <w:r w:rsidR="00161C5A">
        <w:rPr>
          <w:szCs w:val="24"/>
        </w:rPr>
        <w:t xml:space="preserve">DGB, Merz JF. </w:t>
      </w:r>
      <w:r w:rsidR="006B1807" w:rsidRPr="002754C5">
        <w:rPr>
          <w:szCs w:val="24"/>
        </w:rPr>
        <w:t>Effect o</w:t>
      </w:r>
      <w:r w:rsidR="00161C5A" w:rsidRPr="002754C5">
        <w:rPr>
          <w:szCs w:val="24"/>
        </w:rPr>
        <w:t>f patents and licenses on the provision of clinical genetic testing services</w:t>
      </w:r>
      <w:r w:rsidR="00161C5A">
        <w:rPr>
          <w:szCs w:val="24"/>
        </w:rPr>
        <w:t xml:space="preserve">. </w:t>
      </w:r>
      <w:r w:rsidR="006B1807" w:rsidRPr="002754C5">
        <w:rPr>
          <w:i/>
          <w:szCs w:val="24"/>
        </w:rPr>
        <w:t>Journal of Molecular Diagnostics</w:t>
      </w:r>
      <w:r w:rsidR="00161C5A">
        <w:rPr>
          <w:i/>
          <w:szCs w:val="24"/>
        </w:rPr>
        <w:t xml:space="preserve"> </w:t>
      </w:r>
      <w:r w:rsidR="00161C5A">
        <w:rPr>
          <w:szCs w:val="24"/>
        </w:rPr>
        <w:t>2003; 5:</w:t>
      </w:r>
      <w:r w:rsidR="006B1807" w:rsidRPr="002754C5">
        <w:rPr>
          <w:i/>
          <w:szCs w:val="24"/>
        </w:rPr>
        <w:t xml:space="preserve"> </w:t>
      </w:r>
      <w:r w:rsidR="006B1807" w:rsidRPr="002754C5">
        <w:rPr>
          <w:szCs w:val="24"/>
        </w:rPr>
        <w:t>3</w:t>
      </w:r>
      <w:r w:rsidR="00161C5A">
        <w:rPr>
          <w:szCs w:val="24"/>
        </w:rPr>
        <w:t>-8</w:t>
      </w:r>
    </w:p>
    <w:p w:rsidR="00420B1B" w:rsidRPr="002754C5" w:rsidRDefault="00420B1B" w:rsidP="00BE662C">
      <w:pPr>
        <w:spacing w:after="120" w:line="360" w:lineRule="auto"/>
        <w:jc w:val="both"/>
        <w:rPr>
          <w:szCs w:val="24"/>
        </w:rPr>
      </w:pPr>
      <w:r w:rsidRPr="002754C5">
        <w:rPr>
          <w:szCs w:val="24"/>
        </w:rPr>
        <w:t xml:space="preserve">6 </w:t>
      </w:r>
      <w:r w:rsidR="00161C5A">
        <w:rPr>
          <w:szCs w:val="24"/>
        </w:rPr>
        <w:t xml:space="preserve">Merz JF, </w:t>
      </w:r>
      <w:proofErr w:type="spellStart"/>
      <w:r w:rsidR="00161C5A">
        <w:rPr>
          <w:szCs w:val="24"/>
        </w:rPr>
        <w:t>Kriss</w:t>
      </w:r>
      <w:proofErr w:type="spellEnd"/>
      <w:r w:rsidR="00161C5A">
        <w:rPr>
          <w:szCs w:val="24"/>
        </w:rPr>
        <w:t xml:space="preserve"> D</w:t>
      </w:r>
      <w:r w:rsidR="006B1807" w:rsidRPr="002754C5">
        <w:rPr>
          <w:szCs w:val="24"/>
        </w:rPr>
        <w:t>G</w:t>
      </w:r>
      <w:r w:rsidR="00161C5A">
        <w:rPr>
          <w:szCs w:val="24"/>
        </w:rPr>
        <w:t>,</w:t>
      </w:r>
      <w:r w:rsidR="006B1807" w:rsidRPr="002754C5">
        <w:rPr>
          <w:szCs w:val="24"/>
        </w:rPr>
        <w:t xml:space="preserve"> Leonard </w:t>
      </w:r>
      <w:r w:rsidR="00161C5A">
        <w:rPr>
          <w:szCs w:val="24"/>
        </w:rPr>
        <w:t xml:space="preserve">DGB, Cho MK. </w:t>
      </w:r>
      <w:r w:rsidR="006B1807" w:rsidRPr="002754C5">
        <w:rPr>
          <w:szCs w:val="24"/>
        </w:rPr>
        <w:t xml:space="preserve">Diagnostic </w:t>
      </w:r>
      <w:r w:rsidR="00161C5A">
        <w:rPr>
          <w:szCs w:val="24"/>
        </w:rPr>
        <w:t>testing fails the test.</w:t>
      </w:r>
      <w:r w:rsidR="006B1807" w:rsidRPr="002754C5">
        <w:rPr>
          <w:szCs w:val="24"/>
        </w:rPr>
        <w:t xml:space="preserve"> </w:t>
      </w:r>
      <w:r w:rsidR="006B1807" w:rsidRPr="002754C5">
        <w:rPr>
          <w:i/>
          <w:szCs w:val="24"/>
        </w:rPr>
        <w:t>Nature</w:t>
      </w:r>
      <w:r w:rsidR="006B1807" w:rsidRPr="002754C5">
        <w:rPr>
          <w:szCs w:val="24"/>
        </w:rPr>
        <w:t xml:space="preserve"> </w:t>
      </w:r>
      <w:r w:rsidR="00161C5A">
        <w:rPr>
          <w:szCs w:val="24"/>
        </w:rPr>
        <w:t xml:space="preserve">2002; 415: </w:t>
      </w:r>
      <w:r w:rsidR="006B1807" w:rsidRPr="002754C5">
        <w:rPr>
          <w:szCs w:val="24"/>
        </w:rPr>
        <w:t>577</w:t>
      </w:r>
      <w:r w:rsidR="00161C5A">
        <w:rPr>
          <w:szCs w:val="24"/>
        </w:rPr>
        <w:t>-9</w:t>
      </w:r>
    </w:p>
    <w:p w:rsidR="00D47AD0" w:rsidRPr="002754C5" w:rsidRDefault="00420B1B" w:rsidP="00BE662C">
      <w:pPr>
        <w:spacing w:after="120" w:line="360" w:lineRule="auto"/>
        <w:jc w:val="both"/>
        <w:rPr>
          <w:szCs w:val="24"/>
        </w:rPr>
      </w:pPr>
      <w:r w:rsidRPr="002754C5">
        <w:rPr>
          <w:szCs w:val="24"/>
        </w:rPr>
        <w:t xml:space="preserve">7 </w:t>
      </w:r>
      <w:r w:rsidR="006B1807" w:rsidRPr="002754C5">
        <w:rPr>
          <w:rFonts w:eastAsiaTheme="minorHAnsi"/>
          <w:szCs w:val="24"/>
          <w:lang w:val="en-US"/>
        </w:rPr>
        <w:t xml:space="preserve">US </w:t>
      </w:r>
      <w:r w:rsidR="006B1807" w:rsidRPr="002754C5">
        <w:rPr>
          <w:szCs w:val="24"/>
        </w:rPr>
        <w:t xml:space="preserve">Secretary’s Advisory Committee on Genetics, Health and Society (SACGHS), </w:t>
      </w:r>
      <w:r w:rsidR="006B1807" w:rsidRPr="00161C5A">
        <w:rPr>
          <w:szCs w:val="24"/>
        </w:rPr>
        <w:t>Gene Patents and Licensing Practices and their Impact on Patient Access to Genetic Tests</w:t>
      </w:r>
      <w:r w:rsidR="00161C5A">
        <w:rPr>
          <w:szCs w:val="24"/>
        </w:rPr>
        <w:t>.</w:t>
      </w:r>
      <w:r w:rsidR="006B1807" w:rsidRPr="002754C5">
        <w:rPr>
          <w:i/>
          <w:szCs w:val="24"/>
        </w:rPr>
        <w:t xml:space="preserve"> </w:t>
      </w:r>
      <w:r w:rsidR="00892F59">
        <w:rPr>
          <w:szCs w:val="24"/>
        </w:rPr>
        <w:t xml:space="preserve">Washington DC: </w:t>
      </w:r>
      <w:r w:rsidR="00161C5A">
        <w:rPr>
          <w:szCs w:val="24"/>
        </w:rPr>
        <w:t>2010</w:t>
      </w:r>
      <w:r w:rsidR="006B1807" w:rsidRPr="002754C5">
        <w:rPr>
          <w:szCs w:val="24"/>
        </w:rPr>
        <w:t xml:space="preserve"> </w:t>
      </w:r>
    </w:p>
    <w:p w:rsidR="00420B1B" w:rsidRPr="002754C5" w:rsidRDefault="006B1807" w:rsidP="00BE662C">
      <w:pPr>
        <w:spacing w:after="120" w:line="360" w:lineRule="auto"/>
        <w:jc w:val="both"/>
        <w:rPr>
          <w:szCs w:val="24"/>
        </w:rPr>
      </w:pPr>
      <w:r w:rsidRPr="002754C5">
        <w:rPr>
          <w:szCs w:val="24"/>
        </w:rPr>
        <w:t>&lt;</w:t>
      </w:r>
      <w:hyperlink r:id="rId8" w:anchor="GHSDOC_011" w:history="1">
        <w:r w:rsidRPr="002754C5">
          <w:rPr>
            <w:szCs w:val="24"/>
          </w:rPr>
          <w:t>http://oba.od.nih.gov/SACGHS/sacghs_documents.html#GHSDOC_011</w:t>
        </w:r>
      </w:hyperlink>
      <w:r w:rsidRPr="002754C5">
        <w:rPr>
          <w:szCs w:val="24"/>
        </w:rPr>
        <w:t>&gt;</w:t>
      </w:r>
    </w:p>
    <w:p w:rsidR="00320D11" w:rsidRPr="002754C5" w:rsidRDefault="00320D11" w:rsidP="00BE662C">
      <w:pPr>
        <w:pStyle w:val="Heading2"/>
        <w:spacing w:after="120" w:line="360" w:lineRule="auto"/>
        <w:rPr>
          <w:rFonts w:eastAsia="Times New Roman"/>
          <w:b w:val="0"/>
          <w:szCs w:val="24"/>
        </w:rPr>
      </w:pPr>
      <w:r w:rsidRPr="002754C5">
        <w:rPr>
          <w:b w:val="0"/>
          <w:szCs w:val="24"/>
        </w:rPr>
        <w:t>8 Cook-Deegan</w:t>
      </w:r>
      <w:r w:rsidR="00161C5A">
        <w:rPr>
          <w:b w:val="0"/>
          <w:szCs w:val="24"/>
        </w:rPr>
        <w:t xml:space="preserve"> R</w:t>
      </w:r>
      <w:r w:rsidRPr="002754C5">
        <w:rPr>
          <w:b w:val="0"/>
          <w:szCs w:val="24"/>
        </w:rPr>
        <w:t>, Conley</w:t>
      </w:r>
      <w:r w:rsidR="00161C5A" w:rsidRPr="002754C5">
        <w:rPr>
          <w:b w:val="0"/>
          <w:szCs w:val="24"/>
        </w:rPr>
        <w:t xml:space="preserve"> JM</w:t>
      </w:r>
      <w:r w:rsidRPr="002754C5">
        <w:rPr>
          <w:b w:val="0"/>
          <w:szCs w:val="24"/>
        </w:rPr>
        <w:t xml:space="preserve">, Evans </w:t>
      </w:r>
      <w:r w:rsidR="00161C5A" w:rsidRPr="002754C5">
        <w:rPr>
          <w:b w:val="0"/>
          <w:szCs w:val="24"/>
        </w:rPr>
        <w:t>JP</w:t>
      </w:r>
      <w:r w:rsidR="00161C5A">
        <w:rPr>
          <w:b w:val="0"/>
          <w:szCs w:val="24"/>
        </w:rPr>
        <w:t xml:space="preserve">, </w:t>
      </w:r>
      <w:proofErr w:type="spellStart"/>
      <w:r w:rsidR="00161C5A">
        <w:rPr>
          <w:b w:val="0"/>
          <w:szCs w:val="24"/>
        </w:rPr>
        <w:t>Vorhaus</w:t>
      </w:r>
      <w:proofErr w:type="spellEnd"/>
      <w:r w:rsidR="00161C5A">
        <w:rPr>
          <w:b w:val="0"/>
          <w:szCs w:val="24"/>
        </w:rPr>
        <w:t xml:space="preserve"> D. </w:t>
      </w:r>
      <w:r w:rsidRPr="002754C5">
        <w:rPr>
          <w:rFonts w:eastAsia="Times New Roman"/>
          <w:b w:val="0"/>
          <w:szCs w:val="24"/>
        </w:rPr>
        <w:t>The next controversy in genetic testing: clinical data as trade secrets</w:t>
      </w:r>
      <w:r w:rsidR="00161C5A">
        <w:rPr>
          <w:rStyle w:val="mb"/>
          <w:rFonts w:eastAsia="Times New Roman"/>
          <w:b w:val="0"/>
          <w:szCs w:val="24"/>
        </w:rPr>
        <w:t>?</w:t>
      </w:r>
      <w:r w:rsidRPr="002754C5">
        <w:rPr>
          <w:rStyle w:val="mb"/>
          <w:rFonts w:eastAsia="Times New Roman"/>
          <w:b w:val="0"/>
          <w:szCs w:val="24"/>
        </w:rPr>
        <w:t xml:space="preserve"> </w:t>
      </w:r>
      <w:r w:rsidRPr="002754C5">
        <w:rPr>
          <w:rStyle w:val="mb"/>
          <w:rFonts w:eastAsia="Times New Roman"/>
          <w:b w:val="0"/>
          <w:i/>
          <w:szCs w:val="24"/>
        </w:rPr>
        <w:t>E</w:t>
      </w:r>
      <w:r w:rsidRPr="002754C5">
        <w:rPr>
          <w:rFonts w:eastAsia="Times New Roman"/>
          <w:b w:val="0"/>
          <w:i/>
          <w:iCs/>
          <w:szCs w:val="24"/>
        </w:rPr>
        <w:t>uropean Journal of Human Genetics</w:t>
      </w:r>
      <w:r w:rsidRPr="002754C5">
        <w:rPr>
          <w:rFonts w:eastAsia="Times New Roman"/>
          <w:b w:val="0"/>
          <w:szCs w:val="24"/>
        </w:rPr>
        <w:t xml:space="preserve"> </w:t>
      </w:r>
      <w:r w:rsidR="00161C5A" w:rsidRPr="002754C5">
        <w:rPr>
          <w:rStyle w:val="mb"/>
          <w:rFonts w:eastAsia="Times New Roman"/>
          <w:b w:val="0"/>
          <w:szCs w:val="24"/>
        </w:rPr>
        <w:t>2012</w:t>
      </w:r>
      <w:r w:rsidR="00161C5A">
        <w:rPr>
          <w:rStyle w:val="mb"/>
          <w:rFonts w:eastAsia="Times New Roman"/>
          <w:b w:val="0"/>
          <w:szCs w:val="24"/>
        </w:rPr>
        <w:t xml:space="preserve">; </w:t>
      </w:r>
      <w:proofErr w:type="spellStart"/>
      <w:r w:rsidRPr="002754C5">
        <w:rPr>
          <w:rFonts w:eastAsia="Times New Roman"/>
          <w:b w:val="0"/>
          <w:szCs w:val="24"/>
        </w:rPr>
        <w:t>doi</w:t>
      </w:r>
      <w:proofErr w:type="spellEnd"/>
      <w:r w:rsidRPr="002754C5">
        <w:rPr>
          <w:rFonts w:eastAsia="Times New Roman"/>
          <w:b w:val="0"/>
          <w:szCs w:val="24"/>
        </w:rPr>
        <w:t>: 10.1038/ejhg.2012.217</w:t>
      </w:r>
    </w:p>
    <w:p w:rsidR="00420B1B" w:rsidRPr="002754C5" w:rsidRDefault="00320D11" w:rsidP="00BE662C">
      <w:pPr>
        <w:tabs>
          <w:tab w:val="clear" w:pos="0"/>
          <w:tab w:val="num" w:pos="567"/>
        </w:tabs>
        <w:spacing w:after="120" w:line="360" w:lineRule="auto"/>
        <w:jc w:val="both"/>
        <w:rPr>
          <w:szCs w:val="24"/>
        </w:rPr>
      </w:pPr>
      <w:r w:rsidRPr="002754C5">
        <w:rPr>
          <w:szCs w:val="24"/>
        </w:rPr>
        <w:t>9</w:t>
      </w:r>
      <w:r w:rsidR="00420B1B" w:rsidRPr="002754C5">
        <w:rPr>
          <w:szCs w:val="24"/>
        </w:rPr>
        <w:t xml:space="preserve"> </w:t>
      </w:r>
      <w:r w:rsidR="006B1807" w:rsidRPr="002754C5">
        <w:rPr>
          <w:szCs w:val="24"/>
        </w:rPr>
        <w:t>Nicol</w:t>
      </w:r>
      <w:r w:rsidR="00161C5A">
        <w:rPr>
          <w:szCs w:val="24"/>
        </w:rPr>
        <w:t xml:space="preserve"> D. </w:t>
      </w:r>
      <w:r w:rsidR="006B1807" w:rsidRPr="002754C5">
        <w:rPr>
          <w:szCs w:val="24"/>
        </w:rPr>
        <w:t xml:space="preserve">Balancing </w:t>
      </w:r>
      <w:r w:rsidR="00161C5A" w:rsidRPr="002754C5">
        <w:rPr>
          <w:szCs w:val="24"/>
        </w:rPr>
        <w:t xml:space="preserve">innovation and access to healthcare </w:t>
      </w:r>
      <w:r w:rsidR="00161C5A">
        <w:rPr>
          <w:szCs w:val="24"/>
        </w:rPr>
        <w:t>through the patent system - an A</w:t>
      </w:r>
      <w:r w:rsidR="00161C5A" w:rsidRPr="002754C5">
        <w:rPr>
          <w:szCs w:val="24"/>
        </w:rPr>
        <w:t>ustralian perspective</w:t>
      </w:r>
      <w:r w:rsidR="00161C5A">
        <w:rPr>
          <w:szCs w:val="24"/>
        </w:rPr>
        <w:t>.</w:t>
      </w:r>
      <w:r w:rsidR="00161C5A" w:rsidRPr="002754C5">
        <w:rPr>
          <w:szCs w:val="24"/>
        </w:rPr>
        <w:t xml:space="preserve"> </w:t>
      </w:r>
      <w:r w:rsidR="006B1807" w:rsidRPr="002754C5">
        <w:rPr>
          <w:i/>
          <w:szCs w:val="24"/>
        </w:rPr>
        <w:t>Community Genetics</w:t>
      </w:r>
      <w:r w:rsidR="006B1807" w:rsidRPr="002754C5">
        <w:rPr>
          <w:szCs w:val="24"/>
        </w:rPr>
        <w:t xml:space="preserve"> </w:t>
      </w:r>
      <w:r w:rsidR="00161C5A" w:rsidRPr="002754C5">
        <w:rPr>
          <w:szCs w:val="24"/>
        </w:rPr>
        <w:t>2005</w:t>
      </w:r>
      <w:r w:rsidR="00161C5A">
        <w:rPr>
          <w:szCs w:val="24"/>
        </w:rPr>
        <w:t>; 8: 228-</w:t>
      </w:r>
      <w:r w:rsidR="006B1807" w:rsidRPr="002754C5">
        <w:rPr>
          <w:szCs w:val="24"/>
        </w:rPr>
        <w:t>34</w:t>
      </w:r>
    </w:p>
    <w:p w:rsidR="006B1807" w:rsidRPr="002754C5" w:rsidRDefault="00420B1B" w:rsidP="00BE662C">
      <w:pPr>
        <w:spacing w:after="120" w:line="360" w:lineRule="auto"/>
        <w:jc w:val="both"/>
        <w:rPr>
          <w:szCs w:val="24"/>
        </w:rPr>
      </w:pPr>
      <w:r w:rsidRPr="002754C5">
        <w:rPr>
          <w:szCs w:val="24"/>
        </w:rPr>
        <w:t>1</w:t>
      </w:r>
      <w:r w:rsidR="00320D11" w:rsidRPr="002754C5">
        <w:rPr>
          <w:szCs w:val="24"/>
        </w:rPr>
        <w:t>0</w:t>
      </w:r>
      <w:r w:rsidRPr="002754C5">
        <w:rPr>
          <w:szCs w:val="24"/>
        </w:rPr>
        <w:t xml:space="preserve"> </w:t>
      </w:r>
      <w:proofErr w:type="spellStart"/>
      <w:r w:rsidR="00274458" w:rsidRPr="002754C5">
        <w:rPr>
          <w:szCs w:val="24"/>
        </w:rPr>
        <w:t>Gaisser</w:t>
      </w:r>
      <w:proofErr w:type="spellEnd"/>
      <w:r w:rsidR="00161C5A" w:rsidRPr="00161C5A">
        <w:rPr>
          <w:szCs w:val="24"/>
        </w:rPr>
        <w:t xml:space="preserve"> </w:t>
      </w:r>
      <w:r w:rsidR="00161C5A" w:rsidRPr="002754C5">
        <w:rPr>
          <w:szCs w:val="24"/>
        </w:rPr>
        <w:t>S</w:t>
      </w:r>
      <w:r w:rsidR="00274458" w:rsidRPr="002754C5">
        <w:rPr>
          <w:szCs w:val="24"/>
        </w:rPr>
        <w:t xml:space="preserve">, </w:t>
      </w:r>
      <w:r w:rsidR="006B1807" w:rsidRPr="002754C5">
        <w:rPr>
          <w:szCs w:val="24"/>
        </w:rPr>
        <w:t>Hopkins</w:t>
      </w:r>
      <w:r w:rsidR="00161C5A" w:rsidRPr="00161C5A">
        <w:rPr>
          <w:szCs w:val="24"/>
        </w:rPr>
        <w:t xml:space="preserve"> </w:t>
      </w:r>
      <w:r w:rsidR="00161C5A" w:rsidRPr="002754C5">
        <w:rPr>
          <w:szCs w:val="24"/>
        </w:rPr>
        <w:t>MM</w:t>
      </w:r>
      <w:r w:rsidR="006B1807" w:rsidRPr="002754C5">
        <w:rPr>
          <w:szCs w:val="24"/>
        </w:rPr>
        <w:t>, Liddell</w:t>
      </w:r>
      <w:r w:rsidR="00161C5A" w:rsidRPr="00161C5A">
        <w:rPr>
          <w:szCs w:val="24"/>
        </w:rPr>
        <w:t xml:space="preserve"> </w:t>
      </w:r>
      <w:r w:rsidR="00161C5A" w:rsidRPr="002754C5">
        <w:rPr>
          <w:szCs w:val="24"/>
        </w:rPr>
        <w:t>K</w:t>
      </w:r>
      <w:r w:rsidR="006B1807" w:rsidRPr="002754C5">
        <w:rPr>
          <w:szCs w:val="24"/>
        </w:rPr>
        <w:t xml:space="preserve">, Zika </w:t>
      </w:r>
      <w:r w:rsidR="00161C5A" w:rsidRPr="002754C5">
        <w:rPr>
          <w:szCs w:val="24"/>
        </w:rPr>
        <w:t>E</w:t>
      </w:r>
      <w:r w:rsidR="00161C5A">
        <w:rPr>
          <w:szCs w:val="24"/>
        </w:rPr>
        <w:t>,</w:t>
      </w:r>
      <w:r w:rsidR="00161C5A" w:rsidRPr="002754C5">
        <w:rPr>
          <w:szCs w:val="24"/>
        </w:rPr>
        <w:t xml:space="preserve"> </w:t>
      </w:r>
      <w:proofErr w:type="spellStart"/>
      <w:r w:rsidR="006B1807" w:rsidRPr="002754C5">
        <w:rPr>
          <w:szCs w:val="24"/>
        </w:rPr>
        <w:t>Ibarreta</w:t>
      </w:r>
      <w:proofErr w:type="spellEnd"/>
      <w:r w:rsidR="00161C5A" w:rsidRPr="00161C5A">
        <w:rPr>
          <w:szCs w:val="24"/>
        </w:rPr>
        <w:t xml:space="preserve"> </w:t>
      </w:r>
      <w:r w:rsidR="00161C5A" w:rsidRPr="002754C5">
        <w:rPr>
          <w:szCs w:val="24"/>
        </w:rPr>
        <w:t>D</w:t>
      </w:r>
      <w:r w:rsidR="00161C5A">
        <w:rPr>
          <w:szCs w:val="24"/>
        </w:rPr>
        <w:t xml:space="preserve">. </w:t>
      </w:r>
      <w:r w:rsidR="006B1807" w:rsidRPr="002754C5">
        <w:rPr>
          <w:szCs w:val="24"/>
        </w:rPr>
        <w:t>The</w:t>
      </w:r>
      <w:r w:rsidR="00161C5A">
        <w:rPr>
          <w:szCs w:val="24"/>
        </w:rPr>
        <w:t xml:space="preserve"> phantom menace of gene patents. </w:t>
      </w:r>
      <w:r w:rsidR="006B1807" w:rsidRPr="002754C5">
        <w:rPr>
          <w:i/>
          <w:szCs w:val="24"/>
        </w:rPr>
        <w:t>Nature</w:t>
      </w:r>
      <w:r w:rsidR="006B1807" w:rsidRPr="002754C5">
        <w:rPr>
          <w:szCs w:val="24"/>
        </w:rPr>
        <w:t xml:space="preserve"> </w:t>
      </w:r>
      <w:r w:rsidR="00161C5A" w:rsidRPr="002754C5">
        <w:rPr>
          <w:szCs w:val="24"/>
        </w:rPr>
        <w:t>2009</w:t>
      </w:r>
      <w:r w:rsidR="00161C5A">
        <w:rPr>
          <w:szCs w:val="24"/>
        </w:rPr>
        <w:t xml:space="preserve">; 458: </w:t>
      </w:r>
      <w:r w:rsidR="006B1807" w:rsidRPr="002754C5">
        <w:rPr>
          <w:szCs w:val="24"/>
        </w:rPr>
        <w:t>407</w:t>
      </w:r>
      <w:r w:rsidR="00161C5A">
        <w:rPr>
          <w:szCs w:val="24"/>
        </w:rPr>
        <w:t>-8</w:t>
      </w:r>
    </w:p>
    <w:p w:rsidR="006B1807" w:rsidRPr="002754C5" w:rsidRDefault="00420B1B" w:rsidP="00BE662C">
      <w:pPr>
        <w:spacing w:after="120" w:line="360" w:lineRule="auto"/>
        <w:jc w:val="both"/>
        <w:rPr>
          <w:szCs w:val="24"/>
        </w:rPr>
      </w:pPr>
      <w:r w:rsidRPr="002754C5">
        <w:rPr>
          <w:szCs w:val="24"/>
        </w:rPr>
        <w:t>1</w:t>
      </w:r>
      <w:r w:rsidR="00320D11" w:rsidRPr="002754C5">
        <w:rPr>
          <w:szCs w:val="24"/>
        </w:rPr>
        <w:t>1</w:t>
      </w:r>
      <w:r w:rsidRPr="002754C5">
        <w:rPr>
          <w:szCs w:val="24"/>
        </w:rPr>
        <w:t xml:space="preserve"> </w:t>
      </w:r>
      <w:r w:rsidR="006B1807" w:rsidRPr="002754C5">
        <w:rPr>
          <w:szCs w:val="24"/>
        </w:rPr>
        <w:t>Hawkins</w:t>
      </w:r>
      <w:r w:rsidR="00161C5A">
        <w:rPr>
          <w:szCs w:val="24"/>
        </w:rPr>
        <w:t xml:space="preserve"> N. </w:t>
      </w:r>
      <w:r w:rsidR="006B1807" w:rsidRPr="002754C5">
        <w:rPr>
          <w:szCs w:val="24"/>
        </w:rPr>
        <w:t xml:space="preserve">The </w:t>
      </w:r>
      <w:r w:rsidR="00161C5A" w:rsidRPr="002754C5">
        <w:rPr>
          <w:szCs w:val="24"/>
        </w:rPr>
        <w:t xml:space="preserve">impact of human gene patents on genetic testing </w:t>
      </w:r>
      <w:r w:rsidR="006B1807" w:rsidRPr="002754C5">
        <w:rPr>
          <w:szCs w:val="24"/>
        </w:rPr>
        <w:t xml:space="preserve">in the United </w:t>
      </w:r>
    </w:p>
    <w:p w:rsidR="00D47AD0" w:rsidRPr="002754C5" w:rsidRDefault="00161C5A" w:rsidP="00BE662C">
      <w:pPr>
        <w:spacing w:after="120" w:line="360" w:lineRule="auto"/>
        <w:jc w:val="both"/>
        <w:rPr>
          <w:szCs w:val="24"/>
        </w:rPr>
      </w:pPr>
      <w:r>
        <w:rPr>
          <w:szCs w:val="24"/>
        </w:rPr>
        <w:lastRenderedPageBreak/>
        <w:t xml:space="preserve">Kingdom. </w:t>
      </w:r>
      <w:r w:rsidR="006B1807" w:rsidRPr="002754C5">
        <w:rPr>
          <w:i/>
          <w:szCs w:val="24"/>
        </w:rPr>
        <w:t>Genetics in Medicine</w:t>
      </w:r>
      <w:r w:rsidR="006B1807" w:rsidRPr="002754C5">
        <w:rPr>
          <w:szCs w:val="24"/>
        </w:rPr>
        <w:t xml:space="preserve"> </w:t>
      </w:r>
      <w:r w:rsidRPr="002754C5">
        <w:rPr>
          <w:szCs w:val="24"/>
        </w:rPr>
        <w:t>2011</w:t>
      </w:r>
      <w:r>
        <w:rPr>
          <w:szCs w:val="24"/>
        </w:rPr>
        <w:t xml:space="preserve">; 13: </w:t>
      </w:r>
      <w:r w:rsidR="006B1807" w:rsidRPr="002754C5">
        <w:rPr>
          <w:szCs w:val="24"/>
        </w:rPr>
        <w:t>320</w:t>
      </w:r>
      <w:r>
        <w:rPr>
          <w:szCs w:val="24"/>
        </w:rPr>
        <w:t>-24</w:t>
      </w:r>
    </w:p>
    <w:p w:rsidR="00D47AD0" w:rsidRPr="002754C5" w:rsidRDefault="00D47AD0" w:rsidP="00BE662C">
      <w:pPr>
        <w:spacing w:after="120" w:line="360" w:lineRule="auto"/>
        <w:jc w:val="both"/>
        <w:rPr>
          <w:szCs w:val="24"/>
        </w:rPr>
      </w:pPr>
      <w:r w:rsidRPr="002754C5">
        <w:rPr>
          <w:szCs w:val="24"/>
        </w:rPr>
        <w:t>1</w:t>
      </w:r>
      <w:r w:rsidR="00320D11" w:rsidRPr="002754C5">
        <w:rPr>
          <w:szCs w:val="24"/>
        </w:rPr>
        <w:t>2</w:t>
      </w:r>
      <w:r w:rsidRPr="002754C5">
        <w:rPr>
          <w:szCs w:val="24"/>
        </w:rPr>
        <w:t xml:space="preserve"> Australian Sen</w:t>
      </w:r>
      <w:r w:rsidR="00161C5A">
        <w:rPr>
          <w:szCs w:val="24"/>
        </w:rPr>
        <w:t>ate Community Affairs Committee.</w:t>
      </w:r>
      <w:r w:rsidRPr="002754C5">
        <w:rPr>
          <w:szCs w:val="24"/>
        </w:rPr>
        <w:t xml:space="preserve"> </w:t>
      </w:r>
      <w:r w:rsidRPr="00161C5A">
        <w:rPr>
          <w:szCs w:val="24"/>
        </w:rPr>
        <w:t>Report on Gene Patents</w:t>
      </w:r>
      <w:r w:rsidR="00161C5A">
        <w:rPr>
          <w:szCs w:val="24"/>
        </w:rPr>
        <w:t>. Canberra: Parliament of Australia, 2010</w:t>
      </w:r>
    </w:p>
    <w:p w:rsidR="00420B1B" w:rsidRPr="002754C5" w:rsidRDefault="00D47AD0" w:rsidP="00BE662C">
      <w:pPr>
        <w:spacing w:after="120" w:line="360" w:lineRule="auto"/>
        <w:jc w:val="both"/>
        <w:rPr>
          <w:szCs w:val="24"/>
        </w:rPr>
      </w:pPr>
      <w:r w:rsidRPr="002754C5">
        <w:rPr>
          <w:szCs w:val="24"/>
        </w:rPr>
        <w:t>&lt;http://www.aph.gov.au/senate/committee/clac_ctte/gene</w:t>
      </w:r>
      <w:r w:rsidR="00161C5A">
        <w:rPr>
          <w:szCs w:val="24"/>
        </w:rPr>
        <w:t>_patents_43/report/index.htm&gt;</w:t>
      </w:r>
    </w:p>
    <w:p w:rsidR="00420B1B" w:rsidRPr="002754C5" w:rsidRDefault="00420B1B" w:rsidP="00BE662C">
      <w:pPr>
        <w:spacing w:after="120" w:line="360" w:lineRule="auto"/>
        <w:jc w:val="both"/>
        <w:rPr>
          <w:szCs w:val="24"/>
        </w:rPr>
      </w:pPr>
      <w:r w:rsidRPr="002754C5">
        <w:rPr>
          <w:szCs w:val="24"/>
        </w:rPr>
        <w:t>1</w:t>
      </w:r>
      <w:r w:rsidR="00320D11" w:rsidRPr="002754C5">
        <w:rPr>
          <w:szCs w:val="24"/>
        </w:rPr>
        <w:t>3</w:t>
      </w:r>
      <w:r w:rsidR="002F2C24" w:rsidRPr="002754C5">
        <w:rPr>
          <w:szCs w:val="24"/>
        </w:rPr>
        <w:t xml:space="preserve"> </w:t>
      </w:r>
      <w:r w:rsidR="006649E4" w:rsidRPr="002754C5">
        <w:rPr>
          <w:szCs w:val="24"/>
        </w:rPr>
        <w:fldChar w:fldCharType="begin"/>
      </w:r>
      <w:r w:rsidR="002F2C24" w:rsidRPr="002754C5">
        <w:rPr>
          <w:szCs w:val="24"/>
        </w:rPr>
        <w:instrText xml:space="preserve"> ADDIN EN.CITE &lt;EndNote&gt;&lt;Cite&gt;&lt;Author&gt;Berg&lt;/Author&gt;&lt;Year&gt;2011&lt;/Year&gt;&lt;RecNum&gt;613&lt;/RecNum&gt;&lt;record&gt;&lt;rec-number&gt;613&lt;/rec-number&gt;&lt;foreign-keys&gt;&lt;key app="EN" db-id="dwvfra90svfwd3epzf8pftz4wd209awtx0rt"&gt;613&lt;/key&gt;&lt;/foreign-keys&gt;&lt;ref-type name="Journal Article"&gt;17&lt;/ref-type&gt;&lt;contributors&gt;&lt;authors&gt;&lt;author&gt;Berg, Jonathan S&lt;/author&gt;&lt;author&gt;Khoury, Muin J&lt;/author&gt;&lt;author&gt;Evans, James P&lt;/author&gt;&lt;/authors&gt;&lt;/contributors&gt;&lt;titles&gt;&lt;title&gt;Deploying Whole Genome Sequencing in Clinical Practice and Public Health: Meeting the Challenge One Bin at a Time&lt;/title&gt;&lt;secondary-title&gt;Genetics in Medicine&lt;/secondary-title&gt;&lt;/titles&gt;&lt;periodical&gt;&lt;full-title&gt;Genetics in Medicine&lt;/full-title&gt;&lt;/periodical&gt;&lt;pages&gt;499&lt;/pages&gt;&lt;volume&gt;13&lt;/volume&gt;&lt;number&gt;6&lt;/number&gt;&lt;section&gt;499&lt;/section&gt;&lt;dates&gt;&lt;year&gt;2011&lt;/year&gt;&lt;/dates&gt;&lt;urls&gt;&lt;/urls&gt;&lt;/record&gt;&lt;/Cite&gt;&lt;/EndNote&gt;</w:instrText>
      </w:r>
      <w:r w:rsidR="006649E4" w:rsidRPr="002754C5">
        <w:rPr>
          <w:szCs w:val="24"/>
        </w:rPr>
        <w:fldChar w:fldCharType="separate"/>
      </w:r>
      <w:r w:rsidR="002F2C24" w:rsidRPr="002754C5">
        <w:rPr>
          <w:noProof/>
          <w:szCs w:val="24"/>
        </w:rPr>
        <w:t>Berg</w:t>
      </w:r>
      <w:r w:rsidR="00892F59" w:rsidRPr="00892F59">
        <w:rPr>
          <w:noProof/>
          <w:szCs w:val="24"/>
        </w:rPr>
        <w:t xml:space="preserve"> </w:t>
      </w:r>
      <w:r w:rsidR="00892F59" w:rsidRPr="002754C5">
        <w:rPr>
          <w:noProof/>
          <w:szCs w:val="24"/>
        </w:rPr>
        <w:t>JS</w:t>
      </w:r>
      <w:r w:rsidR="002F2C24" w:rsidRPr="002754C5">
        <w:rPr>
          <w:noProof/>
          <w:szCs w:val="24"/>
        </w:rPr>
        <w:t xml:space="preserve">, Khoury </w:t>
      </w:r>
      <w:r w:rsidR="00892F59" w:rsidRPr="002754C5">
        <w:rPr>
          <w:noProof/>
          <w:szCs w:val="24"/>
        </w:rPr>
        <w:t>MJ</w:t>
      </w:r>
      <w:r w:rsidR="00892F59">
        <w:rPr>
          <w:noProof/>
          <w:szCs w:val="24"/>
        </w:rPr>
        <w:t>,</w:t>
      </w:r>
      <w:r w:rsidR="00892F59" w:rsidRPr="002754C5">
        <w:rPr>
          <w:noProof/>
          <w:szCs w:val="24"/>
        </w:rPr>
        <w:t xml:space="preserve"> </w:t>
      </w:r>
      <w:r w:rsidR="002F2C24" w:rsidRPr="002754C5">
        <w:rPr>
          <w:noProof/>
          <w:szCs w:val="24"/>
        </w:rPr>
        <w:t>Evans</w:t>
      </w:r>
      <w:r w:rsidR="00892F59" w:rsidRPr="00892F59">
        <w:rPr>
          <w:noProof/>
          <w:szCs w:val="24"/>
        </w:rPr>
        <w:t xml:space="preserve"> </w:t>
      </w:r>
      <w:r w:rsidR="00892F59" w:rsidRPr="002754C5">
        <w:rPr>
          <w:noProof/>
          <w:szCs w:val="24"/>
        </w:rPr>
        <w:t>JP</w:t>
      </w:r>
      <w:r w:rsidR="00892F59">
        <w:rPr>
          <w:noProof/>
          <w:szCs w:val="24"/>
        </w:rPr>
        <w:t xml:space="preserve">. </w:t>
      </w:r>
      <w:r w:rsidR="002F2C24" w:rsidRPr="002754C5">
        <w:rPr>
          <w:noProof/>
          <w:szCs w:val="24"/>
        </w:rPr>
        <w:t xml:space="preserve">Deploying </w:t>
      </w:r>
      <w:r w:rsidR="00892F59" w:rsidRPr="002754C5">
        <w:rPr>
          <w:noProof/>
          <w:szCs w:val="24"/>
        </w:rPr>
        <w:t>whole genome sequencing in clinical practice and public health: meeting the challenge one bin at a tim</w:t>
      </w:r>
      <w:r w:rsidR="00892F59">
        <w:rPr>
          <w:noProof/>
          <w:szCs w:val="24"/>
        </w:rPr>
        <w:t xml:space="preserve">e. </w:t>
      </w:r>
      <w:r w:rsidR="002F2C24" w:rsidRPr="002754C5">
        <w:rPr>
          <w:i/>
          <w:noProof/>
          <w:szCs w:val="24"/>
        </w:rPr>
        <w:t>Genetics in Medicine</w:t>
      </w:r>
      <w:r w:rsidR="002F2C24" w:rsidRPr="002754C5">
        <w:rPr>
          <w:noProof/>
          <w:szCs w:val="24"/>
        </w:rPr>
        <w:t xml:space="preserve"> </w:t>
      </w:r>
      <w:r w:rsidR="00892F59">
        <w:rPr>
          <w:noProof/>
          <w:szCs w:val="24"/>
        </w:rPr>
        <w:t xml:space="preserve">2011; 13: </w:t>
      </w:r>
      <w:r w:rsidR="002F2C24" w:rsidRPr="002754C5">
        <w:rPr>
          <w:noProof/>
          <w:szCs w:val="24"/>
        </w:rPr>
        <w:t>499</w:t>
      </w:r>
      <w:r w:rsidR="006649E4" w:rsidRPr="002754C5">
        <w:rPr>
          <w:szCs w:val="24"/>
        </w:rPr>
        <w:fldChar w:fldCharType="end"/>
      </w:r>
      <w:r w:rsidR="00892F59">
        <w:rPr>
          <w:szCs w:val="24"/>
        </w:rPr>
        <w:t>-504</w:t>
      </w:r>
    </w:p>
    <w:p w:rsidR="00420B1B" w:rsidRPr="002754C5" w:rsidRDefault="00420B1B" w:rsidP="00BE662C">
      <w:pPr>
        <w:spacing w:after="120" w:line="360" w:lineRule="auto"/>
        <w:jc w:val="both"/>
        <w:rPr>
          <w:szCs w:val="24"/>
        </w:rPr>
      </w:pPr>
      <w:r w:rsidRPr="002754C5">
        <w:rPr>
          <w:szCs w:val="24"/>
        </w:rPr>
        <w:t>1</w:t>
      </w:r>
      <w:r w:rsidR="00320D11" w:rsidRPr="002754C5">
        <w:rPr>
          <w:szCs w:val="24"/>
        </w:rPr>
        <w:t xml:space="preserve">4 </w:t>
      </w:r>
      <w:r w:rsidR="00320D11" w:rsidRPr="002754C5">
        <w:rPr>
          <w:szCs w:val="24"/>
          <w:lang w:val="en-US"/>
        </w:rPr>
        <w:t>Price</w:t>
      </w:r>
      <w:r w:rsidR="00892F59" w:rsidRPr="00892F59">
        <w:rPr>
          <w:szCs w:val="24"/>
          <w:lang w:val="en-US"/>
        </w:rPr>
        <w:t xml:space="preserve"> </w:t>
      </w:r>
      <w:r w:rsidR="00892F59" w:rsidRPr="002754C5">
        <w:rPr>
          <w:szCs w:val="24"/>
          <w:lang w:val="en-US"/>
        </w:rPr>
        <w:t>WN</w:t>
      </w:r>
      <w:r w:rsidR="00892F59">
        <w:rPr>
          <w:szCs w:val="24"/>
          <w:lang w:val="en-US"/>
        </w:rPr>
        <w:t xml:space="preserve">. </w:t>
      </w:r>
      <w:r w:rsidR="00320D11" w:rsidRPr="002754C5">
        <w:rPr>
          <w:szCs w:val="24"/>
          <w:lang w:val="en-US"/>
        </w:rPr>
        <w:t xml:space="preserve">Unblocked </w:t>
      </w:r>
      <w:r w:rsidR="00892F59" w:rsidRPr="002754C5">
        <w:rPr>
          <w:szCs w:val="24"/>
          <w:lang w:val="en-US"/>
        </w:rPr>
        <w:t>future: why gene patents won’t hinder whole genome sequen</w:t>
      </w:r>
      <w:r w:rsidR="00892F59">
        <w:rPr>
          <w:szCs w:val="24"/>
          <w:lang w:val="en-US"/>
        </w:rPr>
        <w:t xml:space="preserve">cing and personalized medicine. </w:t>
      </w:r>
      <w:r w:rsidR="00320D11" w:rsidRPr="002754C5">
        <w:rPr>
          <w:i/>
          <w:szCs w:val="24"/>
          <w:lang w:val="en-US"/>
        </w:rPr>
        <w:t xml:space="preserve">Cardozo Law Review </w:t>
      </w:r>
      <w:r w:rsidR="00892F59">
        <w:rPr>
          <w:szCs w:val="24"/>
          <w:lang w:val="en-US"/>
        </w:rPr>
        <w:t xml:space="preserve">2012; </w:t>
      </w:r>
      <w:r w:rsidR="00892F59" w:rsidRPr="002754C5">
        <w:rPr>
          <w:szCs w:val="24"/>
          <w:lang w:val="en-US"/>
        </w:rPr>
        <w:t>33</w:t>
      </w:r>
      <w:r w:rsidR="00892F59">
        <w:rPr>
          <w:szCs w:val="24"/>
          <w:lang w:val="en-US"/>
        </w:rPr>
        <w:t>:</w:t>
      </w:r>
      <w:r w:rsidR="00892F59" w:rsidRPr="002754C5">
        <w:rPr>
          <w:szCs w:val="24"/>
          <w:lang w:val="en-US"/>
        </w:rPr>
        <w:t xml:space="preserve"> </w:t>
      </w:r>
      <w:r w:rsidR="00892F59">
        <w:rPr>
          <w:szCs w:val="24"/>
          <w:lang w:val="en-US"/>
        </w:rPr>
        <w:t>1601-31</w:t>
      </w:r>
    </w:p>
    <w:p w:rsidR="00420B1B" w:rsidRPr="002754C5" w:rsidRDefault="00420B1B" w:rsidP="00BE662C">
      <w:pPr>
        <w:spacing w:after="120" w:line="360" w:lineRule="auto"/>
        <w:jc w:val="both"/>
        <w:rPr>
          <w:szCs w:val="24"/>
        </w:rPr>
      </w:pPr>
      <w:r w:rsidRPr="002754C5">
        <w:rPr>
          <w:szCs w:val="24"/>
        </w:rPr>
        <w:t>1</w:t>
      </w:r>
      <w:r w:rsidR="00320D11" w:rsidRPr="002754C5">
        <w:rPr>
          <w:szCs w:val="24"/>
        </w:rPr>
        <w:t>5 Holman</w:t>
      </w:r>
      <w:r w:rsidR="00892F59" w:rsidRPr="00892F59">
        <w:rPr>
          <w:szCs w:val="24"/>
        </w:rPr>
        <w:t xml:space="preserve"> </w:t>
      </w:r>
      <w:r w:rsidR="00892F59" w:rsidRPr="002754C5">
        <w:rPr>
          <w:szCs w:val="24"/>
        </w:rPr>
        <w:t>CM</w:t>
      </w:r>
      <w:r w:rsidR="00892F59">
        <w:rPr>
          <w:szCs w:val="24"/>
        </w:rPr>
        <w:t xml:space="preserve">. </w:t>
      </w:r>
      <w:r w:rsidR="00320D11" w:rsidRPr="002754C5">
        <w:rPr>
          <w:szCs w:val="24"/>
        </w:rPr>
        <w:t>Debun</w:t>
      </w:r>
      <w:r w:rsidR="00892F59" w:rsidRPr="002754C5">
        <w:rPr>
          <w:szCs w:val="24"/>
        </w:rPr>
        <w:t>king the myth that whole-genome sequencing infr</w:t>
      </w:r>
      <w:r w:rsidR="00892F59">
        <w:rPr>
          <w:szCs w:val="24"/>
        </w:rPr>
        <w:t>inges thousands of gene patents.</w:t>
      </w:r>
      <w:r w:rsidR="00892F59" w:rsidRPr="002754C5">
        <w:rPr>
          <w:szCs w:val="24"/>
        </w:rPr>
        <w:t xml:space="preserve"> </w:t>
      </w:r>
      <w:r w:rsidR="00320D11" w:rsidRPr="002754C5">
        <w:rPr>
          <w:i/>
          <w:szCs w:val="24"/>
        </w:rPr>
        <w:t>Nature Biotechnology</w:t>
      </w:r>
      <w:r w:rsidR="00320D11" w:rsidRPr="002754C5">
        <w:rPr>
          <w:szCs w:val="24"/>
        </w:rPr>
        <w:t xml:space="preserve"> </w:t>
      </w:r>
      <w:r w:rsidR="00892F59">
        <w:rPr>
          <w:szCs w:val="24"/>
        </w:rPr>
        <w:t xml:space="preserve">2012; </w:t>
      </w:r>
      <w:r w:rsidR="00892F59" w:rsidRPr="002754C5">
        <w:rPr>
          <w:szCs w:val="24"/>
        </w:rPr>
        <w:t>30</w:t>
      </w:r>
      <w:r w:rsidR="00892F59">
        <w:rPr>
          <w:szCs w:val="24"/>
        </w:rPr>
        <w:t>:</w:t>
      </w:r>
      <w:r w:rsidR="00892F59" w:rsidRPr="002754C5">
        <w:rPr>
          <w:szCs w:val="24"/>
        </w:rPr>
        <w:t xml:space="preserve"> </w:t>
      </w:r>
      <w:r w:rsidR="00320D11" w:rsidRPr="002754C5">
        <w:rPr>
          <w:szCs w:val="24"/>
        </w:rPr>
        <w:t>240</w:t>
      </w:r>
      <w:r w:rsidR="00892F59">
        <w:rPr>
          <w:szCs w:val="24"/>
        </w:rPr>
        <w:t>-4</w:t>
      </w:r>
    </w:p>
    <w:p w:rsidR="007F3C57" w:rsidRPr="002754C5" w:rsidRDefault="007F3C57" w:rsidP="00BE662C">
      <w:pPr>
        <w:spacing w:after="120" w:line="360" w:lineRule="auto"/>
        <w:jc w:val="both"/>
        <w:rPr>
          <w:szCs w:val="24"/>
        </w:rPr>
      </w:pPr>
      <w:r w:rsidRPr="002754C5">
        <w:rPr>
          <w:szCs w:val="24"/>
        </w:rPr>
        <w:t xml:space="preserve">16 Ridley </w:t>
      </w:r>
      <w:r w:rsidR="00892F59" w:rsidRPr="002754C5">
        <w:rPr>
          <w:szCs w:val="24"/>
        </w:rPr>
        <w:t>A</w:t>
      </w:r>
      <w:r w:rsidR="00892F59">
        <w:rPr>
          <w:szCs w:val="24"/>
        </w:rPr>
        <w:t>,</w:t>
      </w:r>
      <w:r w:rsidRPr="002754C5">
        <w:rPr>
          <w:szCs w:val="24"/>
        </w:rPr>
        <w:t xml:space="preserve"> Nicol</w:t>
      </w:r>
      <w:r w:rsidR="00892F59">
        <w:rPr>
          <w:szCs w:val="24"/>
        </w:rPr>
        <w:t xml:space="preserve"> D. </w:t>
      </w:r>
      <w:r w:rsidRPr="002754C5">
        <w:rPr>
          <w:szCs w:val="24"/>
        </w:rPr>
        <w:t xml:space="preserve">Is </w:t>
      </w:r>
      <w:r w:rsidR="00892F59">
        <w:rPr>
          <w:szCs w:val="24"/>
        </w:rPr>
        <w:t>t</w:t>
      </w:r>
      <w:r w:rsidRPr="002754C5">
        <w:rPr>
          <w:szCs w:val="24"/>
        </w:rPr>
        <w:t xml:space="preserve">here </w:t>
      </w:r>
      <w:r w:rsidR="00892F59">
        <w:rPr>
          <w:szCs w:val="24"/>
        </w:rPr>
        <w:t>s</w:t>
      </w:r>
      <w:r w:rsidRPr="002754C5">
        <w:rPr>
          <w:szCs w:val="24"/>
        </w:rPr>
        <w:t xml:space="preserve">till a </w:t>
      </w:r>
      <w:r w:rsidR="00892F59">
        <w:rPr>
          <w:szCs w:val="24"/>
        </w:rPr>
        <w:t>p</w:t>
      </w:r>
      <w:r w:rsidRPr="002754C5">
        <w:rPr>
          <w:szCs w:val="24"/>
        </w:rPr>
        <w:t xml:space="preserve">lace for </w:t>
      </w:r>
      <w:r w:rsidR="00892F59">
        <w:rPr>
          <w:szCs w:val="24"/>
        </w:rPr>
        <w:t>g</w:t>
      </w:r>
      <w:r w:rsidRPr="002754C5">
        <w:rPr>
          <w:szCs w:val="24"/>
        </w:rPr>
        <w:t xml:space="preserve">ene </w:t>
      </w:r>
      <w:r w:rsidR="00892F59">
        <w:rPr>
          <w:szCs w:val="24"/>
        </w:rPr>
        <w:t>p</w:t>
      </w:r>
      <w:r w:rsidRPr="002754C5">
        <w:rPr>
          <w:szCs w:val="24"/>
        </w:rPr>
        <w:t xml:space="preserve">atents in Australia? Implications </w:t>
      </w:r>
      <w:r w:rsidR="00892F59">
        <w:rPr>
          <w:szCs w:val="24"/>
        </w:rPr>
        <w:t>of recent US and European case law.</w:t>
      </w:r>
      <w:r w:rsidRPr="002754C5">
        <w:rPr>
          <w:szCs w:val="24"/>
        </w:rPr>
        <w:t xml:space="preserve"> </w:t>
      </w:r>
      <w:r w:rsidRPr="002754C5">
        <w:rPr>
          <w:i/>
          <w:szCs w:val="24"/>
        </w:rPr>
        <w:t>Journal of Law and Medicine</w:t>
      </w:r>
      <w:r w:rsidRPr="002754C5">
        <w:rPr>
          <w:szCs w:val="24"/>
        </w:rPr>
        <w:t xml:space="preserve"> </w:t>
      </w:r>
      <w:r w:rsidR="00892F59" w:rsidRPr="002754C5">
        <w:rPr>
          <w:szCs w:val="24"/>
        </w:rPr>
        <w:t>2011</w:t>
      </w:r>
      <w:r w:rsidR="00892F59">
        <w:rPr>
          <w:szCs w:val="24"/>
        </w:rPr>
        <w:t>; 19: 282-</w:t>
      </w:r>
      <w:r w:rsidRPr="002754C5">
        <w:rPr>
          <w:szCs w:val="24"/>
        </w:rPr>
        <w:t>99</w:t>
      </w:r>
    </w:p>
    <w:p w:rsidR="007F3C57" w:rsidRPr="002754C5" w:rsidRDefault="007F3C57" w:rsidP="00BE662C">
      <w:pPr>
        <w:spacing w:after="120" w:line="360" w:lineRule="auto"/>
        <w:jc w:val="both"/>
        <w:rPr>
          <w:szCs w:val="24"/>
        </w:rPr>
      </w:pPr>
      <w:r w:rsidRPr="002754C5">
        <w:rPr>
          <w:szCs w:val="24"/>
        </w:rPr>
        <w:t>17 Patent Amendment (Human Genes and Biological Materials) Bill 2010</w:t>
      </w:r>
    </w:p>
    <w:p w:rsidR="00420B1B" w:rsidRPr="002754C5" w:rsidRDefault="00420B1B" w:rsidP="00BE662C">
      <w:pPr>
        <w:spacing w:after="120" w:line="360" w:lineRule="auto"/>
        <w:jc w:val="both"/>
        <w:rPr>
          <w:szCs w:val="24"/>
        </w:rPr>
      </w:pPr>
      <w:r w:rsidRPr="002754C5">
        <w:rPr>
          <w:szCs w:val="24"/>
        </w:rPr>
        <w:t xml:space="preserve">18 </w:t>
      </w:r>
      <w:r w:rsidR="00D47AD0" w:rsidRPr="002754C5">
        <w:rPr>
          <w:szCs w:val="24"/>
          <w:lang w:val="en-US"/>
        </w:rPr>
        <w:t>Australian Senate Legal and Constitutional Affairs Legislation Committee</w:t>
      </w:r>
      <w:r w:rsidR="00892F59">
        <w:rPr>
          <w:szCs w:val="24"/>
          <w:lang w:val="en-US"/>
        </w:rPr>
        <w:t>.</w:t>
      </w:r>
      <w:r w:rsidR="00D47AD0" w:rsidRPr="002754C5">
        <w:rPr>
          <w:szCs w:val="24"/>
          <w:lang w:val="en-US"/>
        </w:rPr>
        <w:t xml:space="preserve"> </w:t>
      </w:r>
      <w:r w:rsidR="00D47AD0" w:rsidRPr="00892F59">
        <w:rPr>
          <w:szCs w:val="24"/>
          <w:lang w:val="en-US"/>
        </w:rPr>
        <w:t>Patent Amendment (Human Genes and Biological Materials) Bill 2010</w:t>
      </w:r>
      <w:r w:rsidR="00892F59">
        <w:rPr>
          <w:szCs w:val="24"/>
          <w:lang w:val="en-US"/>
        </w:rPr>
        <w:t>. Canberra; Parliament of Australia, 2011</w:t>
      </w:r>
    </w:p>
    <w:p w:rsidR="007F3C57" w:rsidRPr="002754C5" w:rsidRDefault="007F3C57" w:rsidP="00BE662C">
      <w:pPr>
        <w:spacing w:after="120" w:line="360" w:lineRule="auto"/>
        <w:jc w:val="both"/>
        <w:rPr>
          <w:szCs w:val="24"/>
        </w:rPr>
      </w:pPr>
      <w:r w:rsidRPr="002754C5">
        <w:rPr>
          <w:szCs w:val="24"/>
        </w:rPr>
        <w:t xml:space="preserve">19 Nicol </w:t>
      </w:r>
      <w:r w:rsidR="00892F59">
        <w:rPr>
          <w:szCs w:val="24"/>
        </w:rPr>
        <w:t xml:space="preserve">D, Liddicoat J. </w:t>
      </w:r>
      <w:r w:rsidRPr="002754C5">
        <w:rPr>
          <w:szCs w:val="24"/>
        </w:rPr>
        <w:t>Legislating to</w:t>
      </w:r>
      <w:r w:rsidR="00892F59" w:rsidRPr="002754C5">
        <w:rPr>
          <w:szCs w:val="24"/>
        </w:rPr>
        <w:t xml:space="preserve"> exclude gene patents: difficult and u</w:t>
      </w:r>
      <w:r w:rsidR="00892F59">
        <w:rPr>
          <w:szCs w:val="24"/>
        </w:rPr>
        <w:t>nhelpful or useful and feasible.</w:t>
      </w:r>
      <w:r w:rsidRPr="002754C5">
        <w:rPr>
          <w:szCs w:val="24"/>
        </w:rPr>
        <w:t xml:space="preserve"> </w:t>
      </w:r>
      <w:r w:rsidRPr="002754C5">
        <w:rPr>
          <w:i/>
          <w:szCs w:val="24"/>
        </w:rPr>
        <w:t>Journal of Law, Information and Science</w:t>
      </w:r>
      <w:r w:rsidRPr="002754C5">
        <w:rPr>
          <w:szCs w:val="24"/>
        </w:rPr>
        <w:t xml:space="preserve"> </w:t>
      </w:r>
      <w:r w:rsidR="00892F59">
        <w:rPr>
          <w:szCs w:val="24"/>
        </w:rPr>
        <w:t xml:space="preserve">2012; 22: </w:t>
      </w:r>
      <w:r w:rsidRPr="002754C5">
        <w:rPr>
          <w:szCs w:val="24"/>
        </w:rPr>
        <w:t>32-54</w:t>
      </w:r>
    </w:p>
    <w:p w:rsidR="00250EFF" w:rsidRPr="002754C5" w:rsidRDefault="00250EFF" w:rsidP="00BE662C">
      <w:pPr>
        <w:spacing w:after="120" w:line="360" w:lineRule="auto"/>
        <w:jc w:val="both"/>
        <w:rPr>
          <w:szCs w:val="24"/>
        </w:rPr>
      </w:pPr>
      <w:r w:rsidRPr="002754C5">
        <w:rPr>
          <w:szCs w:val="24"/>
        </w:rPr>
        <w:t>20</w:t>
      </w:r>
      <w:r w:rsidR="00274458" w:rsidRPr="002754C5">
        <w:rPr>
          <w:szCs w:val="24"/>
        </w:rPr>
        <w:t xml:space="preserve"> </w:t>
      </w:r>
      <w:r w:rsidR="00274458" w:rsidRPr="002754C5">
        <w:rPr>
          <w:szCs w:val="24"/>
          <w:lang w:val="nl-NL"/>
        </w:rPr>
        <w:t>Van Overwalle</w:t>
      </w:r>
      <w:r w:rsidR="00892F59" w:rsidRPr="00892F59">
        <w:rPr>
          <w:szCs w:val="24"/>
        </w:rPr>
        <w:t xml:space="preserve"> </w:t>
      </w:r>
      <w:r w:rsidR="00892F59" w:rsidRPr="002754C5">
        <w:rPr>
          <w:szCs w:val="24"/>
        </w:rPr>
        <w:t>G</w:t>
      </w:r>
      <w:r w:rsidR="00274458" w:rsidRPr="002754C5">
        <w:rPr>
          <w:szCs w:val="24"/>
          <w:lang w:val="nl-NL"/>
        </w:rPr>
        <w:t>, van Zimmeren</w:t>
      </w:r>
      <w:r w:rsidR="00892F59" w:rsidRPr="00892F59">
        <w:rPr>
          <w:szCs w:val="24"/>
          <w:lang w:val="nl-NL"/>
        </w:rPr>
        <w:t xml:space="preserve"> </w:t>
      </w:r>
      <w:r w:rsidR="00892F59" w:rsidRPr="002754C5">
        <w:rPr>
          <w:szCs w:val="24"/>
          <w:lang w:val="nl-NL"/>
        </w:rPr>
        <w:t>E</w:t>
      </w:r>
      <w:r w:rsidR="00274458" w:rsidRPr="002754C5">
        <w:rPr>
          <w:szCs w:val="24"/>
          <w:lang w:val="nl-NL"/>
        </w:rPr>
        <w:t xml:space="preserve">, Verbeure </w:t>
      </w:r>
      <w:r w:rsidR="00892F59">
        <w:rPr>
          <w:szCs w:val="24"/>
          <w:lang w:val="nl-NL"/>
        </w:rPr>
        <w:t xml:space="preserve">B, </w:t>
      </w:r>
      <w:r w:rsidR="00274458" w:rsidRPr="002754C5">
        <w:rPr>
          <w:szCs w:val="24"/>
          <w:lang w:val="nl-NL"/>
        </w:rPr>
        <w:t>Matthijs G</w:t>
      </w:r>
      <w:r w:rsidR="00892F59">
        <w:rPr>
          <w:szCs w:val="24"/>
          <w:lang w:val="nl-NL"/>
        </w:rPr>
        <w:t>.</w:t>
      </w:r>
      <w:r w:rsidR="00274458" w:rsidRPr="002754C5">
        <w:rPr>
          <w:szCs w:val="24"/>
          <w:lang w:val="nl-NL"/>
        </w:rPr>
        <w:t xml:space="preserve"> </w:t>
      </w:r>
      <w:r w:rsidR="00274458" w:rsidRPr="002754C5">
        <w:rPr>
          <w:szCs w:val="24"/>
        </w:rPr>
        <w:t>Models for facilitating access to patents on genetic inventions</w:t>
      </w:r>
      <w:r w:rsidR="00892F59">
        <w:rPr>
          <w:szCs w:val="24"/>
        </w:rPr>
        <w:t xml:space="preserve">. </w:t>
      </w:r>
      <w:r w:rsidR="00274458" w:rsidRPr="002754C5">
        <w:rPr>
          <w:i/>
          <w:szCs w:val="24"/>
        </w:rPr>
        <w:t>Nature Reviews Genetics</w:t>
      </w:r>
      <w:r w:rsidR="00274458" w:rsidRPr="002754C5">
        <w:rPr>
          <w:szCs w:val="24"/>
        </w:rPr>
        <w:t xml:space="preserve"> </w:t>
      </w:r>
      <w:r w:rsidR="00892F59">
        <w:rPr>
          <w:szCs w:val="24"/>
        </w:rPr>
        <w:t>2006; 7:143-</w:t>
      </w:r>
      <w:r w:rsidR="00274458" w:rsidRPr="002754C5">
        <w:rPr>
          <w:szCs w:val="24"/>
        </w:rPr>
        <w:t>8</w:t>
      </w:r>
    </w:p>
    <w:p w:rsidR="00250EFF" w:rsidRPr="002754C5" w:rsidRDefault="00250EFF" w:rsidP="00BE662C">
      <w:pPr>
        <w:spacing w:after="120" w:line="360" w:lineRule="auto"/>
        <w:jc w:val="both"/>
        <w:rPr>
          <w:szCs w:val="24"/>
        </w:rPr>
      </w:pPr>
      <w:r w:rsidRPr="002754C5">
        <w:rPr>
          <w:szCs w:val="24"/>
        </w:rPr>
        <w:t>21</w:t>
      </w:r>
      <w:r w:rsidR="00274458" w:rsidRPr="002754C5">
        <w:rPr>
          <w:szCs w:val="24"/>
        </w:rPr>
        <w:t xml:space="preserve"> Productivity Commission</w:t>
      </w:r>
      <w:r w:rsidR="00892F59">
        <w:rPr>
          <w:szCs w:val="24"/>
        </w:rPr>
        <w:t>.</w:t>
      </w:r>
      <w:r w:rsidR="00274458" w:rsidRPr="002754C5">
        <w:rPr>
          <w:szCs w:val="24"/>
        </w:rPr>
        <w:t xml:space="preserve"> </w:t>
      </w:r>
      <w:r w:rsidR="00274458" w:rsidRPr="00892F59">
        <w:rPr>
          <w:szCs w:val="24"/>
        </w:rPr>
        <w:t>Compulsory Licensing of Patents</w:t>
      </w:r>
      <w:r w:rsidR="00DA0181" w:rsidRPr="00892F59">
        <w:rPr>
          <w:szCs w:val="24"/>
        </w:rPr>
        <w:t>,</w:t>
      </w:r>
      <w:r w:rsidR="00274458" w:rsidRPr="00892F59">
        <w:rPr>
          <w:szCs w:val="24"/>
        </w:rPr>
        <w:t xml:space="preserve"> Draft Report</w:t>
      </w:r>
      <w:r w:rsidR="00892F59">
        <w:rPr>
          <w:szCs w:val="24"/>
        </w:rPr>
        <w:t>. Canberra: Australian Government, 2012</w:t>
      </w:r>
    </w:p>
    <w:p w:rsidR="00FE07C5" w:rsidRDefault="00250EFF" w:rsidP="00BE662C">
      <w:pPr>
        <w:spacing w:after="120" w:line="360" w:lineRule="auto"/>
        <w:jc w:val="both"/>
        <w:rPr>
          <w:color w:val="000000"/>
          <w:szCs w:val="24"/>
        </w:rPr>
      </w:pPr>
      <w:r w:rsidRPr="002754C5">
        <w:rPr>
          <w:szCs w:val="24"/>
        </w:rPr>
        <w:t>2</w:t>
      </w:r>
      <w:r w:rsidR="00892F59">
        <w:rPr>
          <w:szCs w:val="24"/>
        </w:rPr>
        <w:t>2</w:t>
      </w:r>
      <w:r w:rsidRPr="002754C5">
        <w:rPr>
          <w:szCs w:val="24"/>
        </w:rPr>
        <w:t xml:space="preserve"> </w:t>
      </w:r>
      <w:r w:rsidR="00D47AD0" w:rsidRPr="002754C5">
        <w:rPr>
          <w:color w:val="000000"/>
          <w:szCs w:val="24"/>
        </w:rPr>
        <w:t xml:space="preserve">Nicol </w:t>
      </w:r>
      <w:r w:rsidR="00892F59">
        <w:rPr>
          <w:color w:val="000000"/>
          <w:szCs w:val="24"/>
        </w:rPr>
        <w:t xml:space="preserve">D, </w:t>
      </w:r>
      <w:r w:rsidR="00D47AD0" w:rsidRPr="002754C5">
        <w:rPr>
          <w:color w:val="000000"/>
          <w:szCs w:val="24"/>
        </w:rPr>
        <w:t>Nielsen</w:t>
      </w:r>
      <w:r w:rsidR="00892F59">
        <w:rPr>
          <w:color w:val="000000"/>
          <w:szCs w:val="24"/>
        </w:rPr>
        <w:t xml:space="preserve"> J.</w:t>
      </w:r>
      <w:r w:rsidR="00D47AD0" w:rsidRPr="002754C5">
        <w:rPr>
          <w:color w:val="000000"/>
          <w:szCs w:val="24"/>
        </w:rPr>
        <w:t xml:space="preserve"> </w:t>
      </w:r>
      <w:r w:rsidR="00D47AD0" w:rsidRPr="008D0935">
        <w:rPr>
          <w:color w:val="000000"/>
          <w:szCs w:val="24"/>
        </w:rPr>
        <w:t>Patents and Medical Biotechnology: An Empirical Analysis of Issues Facing the Australian Industry</w:t>
      </w:r>
      <w:r w:rsidR="008D0935">
        <w:rPr>
          <w:color w:val="000000"/>
          <w:szCs w:val="24"/>
        </w:rPr>
        <w:t>. Hobart:</w:t>
      </w:r>
      <w:r w:rsidR="00D47AD0" w:rsidRPr="008D0935">
        <w:rPr>
          <w:color w:val="000000"/>
          <w:szCs w:val="24"/>
        </w:rPr>
        <w:t xml:space="preserve"> </w:t>
      </w:r>
      <w:r w:rsidR="00DA0181" w:rsidRPr="008D0935">
        <w:rPr>
          <w:color w:val="000000"/>
          <w:szCs w:val="24"/>
        </w:rPr>
        <w:t xml:space="preserve">Centre for Law and </w:t>
      </w:r>
      <w:r w:rsidR="008D0935">
        <w:rPr>
          <w:color w:val="000000"/>
          <w:szCs w:val="24"/>
        </w:rPr>
        <w:t>Genetics Occasional Paper No. 6, 2003</w:t>
      </w:r>
    </w:p>
    <w:p w:rsidR="008D0935" w:rsidRPr="002754C5" w:rsidRDefault="008D0935" w:rsidP="00BE662C">
      <w:pPr>
        <w:spacing w:after="120" w:line="360" w:lineRule="auto"/>
        <w:jc w:val="both"/>
        <w:rPr>
          <w:color w:val="000000"/>
          <w:szCs w:val="24"/>
        </w:rPr>
      </w:pPr>
      <w:r>
        <w:rPr>
          <w:color w:val="000000"/>
          <w:szCs w:val="24"/>
        </w:rPr>
        <w:lastRenderedPageBreak/>
        <w:t xml:space="preserve">23 </w:t>
      </w:r>
      <w:r w:rsidRPr="002754C5">
        <w:rPr>
          <w:color w:val="000000"/>
          <w:szCs w:val="24"/>
        </w:rPr>
        <w:t xml:space="preserve">Nicol </w:t>
      </w:r>
      <w:r>
        <w:rPr>
          <w:color w:val="000000"/>
          <w:szCs w:val="24"/>
        </w:rPr>
        <w:t xml:space="preserve">D, </w:t>
      </w:r>
      <w:r w:rsidRPr="002754C5">
        <w:rPr>
          <w:color w:val="000000"/>
          <w:szCs w:val="24"/>
        </w:rPr>
        <w:t>Nielsen</w:t>
      </w:r>
      <w:r>
        <w:rPr>
          <w:color w:val="000000"/>
          <w:szCs w:val="24"/>
        </w:rPr>
        <w:t xml:space="preserve"> J. </w:t>
      </w:r>
      <w:r w:rsidRPr="00A33590">
        <w:rPr>
          <w:rFonts w:ascii="Cambria" w:hAnsi="Cambria"/>
        </w:rPr>
        <w:t>Australian medical biotechnology: navigating a complex patent landscape</w:t>
      </w:r>
      <w:r>
        <w:rPr>
          <w:rFonts w:ascii="Cambria" w:hAnsi="Cambria"/>
        </w:rPr>
        <w:t xml:space="preserve">. </w:t>
      </w:r>
      <w:r w:rsidRPr="00A33590">
        <w:rPr>
          <w:rFonts w:ascii="Cambria" w:hAnsi="Cambria"/>
          <w:i/>
        </w:rPr>
        <w:t>European Intellectual Property Review</w:t>
      </w:r>
      <w:r w:rsidRPr="00A33590">
        <w:rPr>
          <w:rFonts w:ascii="Cambria" w:hAnsi="Cambria"/>
        </w:rPr>
        <w:t xml:space="preserve"> </w:t>
      </w:r>
      <w:r>
        <w:rPr>
          <w:rFonts w:ascii="Cambria" w:hAnsi="Cambria"/>
        </w:rPr>
        <w:t>2005; 27: 313-</w:t>
      </w:r>
      <w:r w:rsidRPr="00A33590">
        <w:rPr>
          <w:rFonts w:ascii="Cambria" w:hAnsi="Cambria"/>
        </w:rPr>
        <w:t>8</w:t>
      </w:r>
    </w:p>
    <w:p w:rsidR="00FE07C5" w:rsidRPr="002754C5" w:rsidRDefault="00B25137" w:rsidP="00BE662C">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spacing w:after="120" w:line="360" w:lineRule="auto"/>
        <w:rPr>
          <w:szCs w:val="24"/>
        </w:rPr>
      </w:pPr>
      <w:r>
        <w:rPr>
          <w:color w:val="000000"/>
          <w:szCs w:val="24"/>
        </w:rPr>
        <w:t>24</w:t>
      </w:r>
      <w:r w:rsidR="00FE07C5" w:rsidRPr="002754C5">
        <w:rPr>
          <w:color w:val="000000"/>
          <w:szCs w:val="24"/>
        </w:rPr>
        <w:t xml:space="preserve"> </w:t>
      </w:r>
      <w:r w:rsidR="00FE07C5" w:rsidRPr="002754C5">
        <w:rPr>
          <w:szCs w:val="24"/>
        </w:rPr>
        <w:t>Australian Law Reform Commission</w:t>
      </w:r>
      <w:r w:rsidR="008D0935">
        <w:rPr>
          <w:szCs w:val="24"/>
        </w:rPr>
        <w:t>.</w:t>
      </w:r>
      <w:r w:rsidR="00FE07C5" w:rsidRPr="002754C5">
        <w:rPr>
          <w:szCs w:val="24"/>
        </w:rPr>
        <w:t xml:space="preserve"> </w:t>
      </w:r>
      <w:r w:rsidR="00FE07C5" w:rsidRPr="008D0935">
        <w:rPr>
          <w:szCs w:val="24"/>
        </w:rPr>
        <w:t>Genes and Ingenuity: Gene Patenting and Human Health. Report 99</w:t>
      </w:r>
      <w:r w:rsidR="008D0935">
        <w:rPr>
          <w:szCs w:val="24"/>
        </w:rPr>
        <w:t xml:space="preserve">. </w:t>
      </w:r>
      <w:r w:rsidR="00FE07C5" w:rsidRPr="002754C5">
        <w:rPr>
          <w:szCs w:val="24"/>
        </w:rPr>
        <w:t>Canberra: Commonwealth of Australia</w:t>
      </w:r>
      <w:r w:rsidR="008D0935">
        <w:rPr>
          <w:szCs w:val="24"/>
        </w:rPr>
        <w:t>,</w:t>
      </w:r>
      <w:r w:rsidR="00FE07C5" w:rsidRPr="002754C5">
        <w:rPr>
          <w:szCs w:val="24"/>
        </w:rPr>
        <w:t xml:space="preserve"> 2004). </w:t>
      </w:r>
      <w:r w:rsidR="008D0935">
        <w:rPr>
          <w:szCs w:val="24"/>
        </w:rPr>
        <w:t>&lt;</w:t>
      </w:r>
      <w:r w:rsidR="00FE07C5" w:rsidRPr="002754C5">
        <w:rPr>
          <w:szCs w:val="24"/>
        </w:rPr>
        <w:t>http://www.austlii.edu.au/au/other/alrc/publications/reports/99/</w:t>
      </w:r>
      <w:r w:rsidR="008D0935">
        <w:rPr>
          <w:szCs w:val="24"/>
        </w:rPr>
        <w:t>&gt;</w:t>
      </w:r>
      <w:r w:rsidR="00FE07C5" w:rsidRPr="002754C5">
        <w:rPr>
          <w:szCs w:val="24"/>
        </w:rPr>
        <w:t xml:space="preserve"> </w:t>
      </w:r>
    </w:p>
    <w:p w:rsidR="00FE07C5" w:rsidRPr="002754C5" w:rsidRDefault="00B25137" w:rsidP="00BE662C">
      <w:pPr>
        <w:widowControl w:val="0"/>
        <w:tabs>
          <w:tab w:val="clear" w:pos="0"/>
        </w:tabs>
        <w:autoSpaceDE w:val="0"/>
        <w:autoSpaceDN w:val="0"/>
        <w:adjustRightInd w:val="0"/>
        <w:spacing w:after="120" w:line="360" w:lineRule="auto"/>
        <w:rPr>
          <w:szCs w:val="24"/>
        </w:rPr>
      </w:pPr>
      <w:r>
        <w:rPr>
          <w:szCs w:val="24"/>
        </w:rPr>
        <w:t>25</w:t>
      </w:r>
      <w:r w:rsidR="00FE07C5" w:rsidRPr="002754C5">
        <w:rPr>
          <w:szCs w:val="24"/>
        </w:rPr>
        <w:t xml:space="preserve"> </w:t>
      </w:r>
      <w:r w:rsidR="008D0935">
        <w:rPr>
          <w:szCs w:val="24"/>
          <w:lang w:val="en-US"/>
        </w:rPr>
        <w:t>Australian Government.</w:t>
      </w:r>
      <w:r w:rsidR="002754C5" w:rsidRPr="002754C5">
        <w:rPr>
          <w:szCs w:val="24"/>
          <w:lang w:val="en-US"/>
        </w:rPr>
        <w:t xml:space="preserve"> </w:t>
      </w:r>
      <w:r w:rsidR="002754C5" w:rsidRPr="008D0935">
        <w:rPr>
          <w:szCs w:val="24"/>
          <w:lang w:val="en-US"/>
        </w:rPr>
        <w:t>Response to Senate Community Affairs References Committee Gene Patents Report</w:t>
      </w:r>
      <w:r w:rsidR="008D0935">
        <w:rPr>
          <w:szCs w:val="24"/>
          <w:lang w:val="en-US"/>
        </w:rPr>
        <w:t>.</w:t>
      </w:r>
      <w:r w:rsidR="002754C5" w:rsidRPr="002754C5">
        <w:rPr>
          <w:szCs w:val="24"/>
          <w:lang w:val="en-US"/>
        </w:rPr>
        <w:t xml:space="preserve"> </w:t>
      </w:r>
    </w:p>
    <w:p w:rsidR="008D0935" w:rsidRDefault="008D0935" w:rsidP="00BE662C">
      <w:pPr>
        <w:spacing w:after="120" w:line="360" w:lineRule="auto"/>
        <w:jc w:val="both"/>
        <w:rPr>
          <w:rFonts w:eastAsia="Times New Roman"/>
        </w:rPr>
      </w:pPr>
      <w:r w:rsidRPr="008D0935">
        <w:rPr>
          <w:rFonts w:eastAsia="Times New Roman"/>
        </w:rPr>
        <w:t>&lt;www.ipaustralia.gov.au/pdfs/Australian-Government-response-senate-committee-gene-patents-report.doc&gt;</w:t>
      </w:r>
    </w:p>
    <w:p w:rsidR="00D45183" w:rsidRPr="00D45183" w:rsidRDefault="00D45183" w:rsidP="00BE662C">
      <w:pPr>
        <w:spacing w:after="120" w:line="360" w:lineRule="auto"/>
        <w:jc w:val="both"/>
        <w:rPr>
          <w:rFonts w:eastAsia="Times New Roman"/>
        </w:rPr>
      </w:pPr>
      <w:r>
        <w:rPr>
          <w:rFonts w:eastAsia="Times New Roman"/>
        </w:rPr>
        <w:t xml:space="preserve">26 Smith S. Push for ban on gene patents. </w:t>
      </w:r>
      <w:proofErr w:type="spellStart"/>
      <w:r>
        <w:rPr>
          <w:rFonts w:eastAsia="Times New Roman"/>
          <w:i/>
        </w:rPr>
        <w:t>Lateline</w:t>
      </w:r>
      <w:proofErr w:type="spellEnd"/>
      <w:r>
        <w:rPr>
          <w:rFonts w:eastAsia="Times New Roman"/>
        </w:rPr>
        <w:t xml:space="preserve">, 14 May 2012, </w:t>
      </w:r>
      <w:r w:rsidR="0048062E">
        <w:rPr>
          <w:rFonts w:eastAsia="Times New Roman"/>
        </w:rPr>
        <w:t>&lt;</w:t>
      </w:r>
      <w:r w:rsidR="0048062E" w:rsidRPr="0048062E">
        <w:rPr>
          <w:rFonts w:eastAsia="Times New Roman"/>
        </w:rPr>
        <w:t>http://www.abc.net.au/lateline/content/2012/s3502732.htm</w:t>
      </w:r>
      <w:r w:rsidR="0048062E">
        <w:rPr>
          <w:rFonts w:eastAsia="Times New Roman"/>
        </w:rPr>
        <w:t xml:space="preserve">&gt; </w:t>
      </w:r>
    </w:p>
    <w:p w:rsidR="003C76CF" w:rsidRPr="002754C5" w:rsidRDefault="00B25137" w:rsidP="00BE662C">
      <w:pPr>
        <w:spacing w:after="120" w:line="360" w:lineRule="auto"/>
        <w:jc w:val="both"/>
        <w:rPr>
          <w:color w:val="000000"/>
          <w:szCs w:val="24"/>
        </w:rPr>
      </w:pPr>
      <w:r>
        <w:rPr>
          <w:rFonts w:eastAsia="Times New Roman"/>
        </w:rPr>
        <w:t>2</w:t>
      </w:r>
      <w:r w:rsidR="00D45183">
        <w:rPr>
          <w:rFonts w:eastAsia="Times New Roman"/>
        </w:rPr>
        <w:t>7</w:t>
      </w:r>
      <w:r w:rsidR="003C76CF">
        <w:rPr>
          <w:rFonts w:eastAsia="Times New Roman"/>
        </w:rPr>
        <w:t xml:space="preserve"> </w:t>
      </w:r>
      <w:r w:rsidR="003C76CF" w:rsidRPr="00A33590">
        <w:rPr>
          <w:rFonts w:ascii="Cambria" w:hAnsi="Cambria"/>
          <w:color w:val="000000"/>
        </w:rPr>
        <w:t xml:space="preserve">Nielsen </w:t>
      </w:r>
      <w:r w:rsidR="008D0935">
        <w:rPr>
          <w:rFonts w:ascii="Cambria" w:hAnsi="Cambria"/>
          <w:color w:val="000000"/>
        </w:rPr>
        <w:t xml:space="preserve">J, </w:t>
      </w:r>
      <w:r w:rsidR="003C76CF" w:rsidRPr="00A33590">
        <w:rPr>
          <w:rFonts w:ascii="Cambria" w:hAnsi="Cambria"/>
          <w:color w:val="000000"/>
        </w:rPr>
        <w:t>Nicol</w:t>
      </w:r>
      <w:r w:rsidR="008D0935">
        <w:rPr>
          <w:rFonts w:ascii="Cambria" w:hAnsi="Cambria"/>
          <w:color w:val="000000"/>
        </w:rPr>
        <w:t xml:space="preserve"> D. </w:t>
      </w:r>
      <w:r w:rsidR="003C76CF" w:rsidRPr="00A33590">
        <w:rPr>
          <w:rFonts w:ascii="Cambria" w:hAnsi="Cambria"/>
          <w:color w:val="000000"/>
        </w:rPr>
        <w:t xml:space="preserve">Whither </w:t>
      </w:r>
      <w:r w:rsidR="008D0935">
        <w:rPr>
          <w:rFonts w:ascii="Cambria" w:hAnsi="Cambria"/>
          <w:color w:val="000000"/>
        </w:rPr>
        <w:t>p</w:t>
      </w:r>
      <w:r w:rsidR="003C76CF" w:rsidRPr="00A33590">
        <w:rPr>
          <w:rFonts w:ascii="Cambria" w:hAnsi="Cambria"/>
          <w:color w:val="000000"/>
        </w:rPr>
        <w:t xml:space="preserve">atent </w:t>
      </w:r>
      <w:r w:rsidR="008D0935">
        <w:rPr>
          <w:rFonts w:ascii="Cambria" w:hAnsi="Cambria"/>
          <w:color w:val="000000"/>
        </w:rPr>
        <w:t>u</w:t>
      </w:r>
      <w:r w:rsidR="003C76CF" w:rsidRPr="00A33590">
        <w:rPr>
          <w:rFonts w:ascii="Cambria" w:hAnsi="Cambria"/>
          <w:color w:val="000000"/>
        </w:rPr>
        <w:t xml:space="preserve">se </w:t>
      </w:r>
      <w:r w:rsidR="008D0935">
        <w:rPr>
          <w:rFonts w:ascii="Cambria" w:hAnsi="Cambria"/>
          <w:color w:val="000000"/>
        </w:rPr>
        <w:t>w</w:t>
      </w:r>
      <w:r w:rsidR="003C76CF" w:rsidRPr="00A33590">
        <w:rPr>
          <w:rFonts w:ascii="Cambria" w:hAnsi="Cambria"/>
          <w:color w:val="000000"/>
        </w:rPr>
        <w:t xml:space="preserve">ithout </w:t>
      </w:r>
      <w:r w:rsidR="008D0935">
        <w:rPr>
          <w:rFonts w:ascii="Cambria" w:hAnsi="Cambria"/>
          <w:color w:val="000000"/>
        </w:rPr>
        <w:t>authorisation in Australia.</w:t>
      </w:r>
      <w:r w:rsidR="003C76CF" w:rsidRPr="00A33590">
        <w:rPr>
          <w:rFonts w:ascii="Cambria" w:hAnsi="Cambria"/>
          <w:color w:val="000000"/>
        </w:rPr>
        <w:t xml:space="preserve"> </w:t>
      </w:r>
      <w:r w:rsidR="003C76CF" w:rsidRPr="00A33590">
        <w:rPr>
          <w:rFonts w:ascii="Cambria" w:hAnsi="Cambria"/>
          <w:i/>
          <w:color w:val="000000"/>
        </w:rPr>
        <w:t>Federal Law Review</w:t>
      </w:r>
      <w:r w:rsidR="003C76CF" w:rsidRPr="00A33590">
        <w:rPr>
          <w:rFonts w:ascii="Cambria" w:hAnsi="Cambria"/>
          <w:color w:val="000000"/>
        </w:rPr>
        <w:t xml:space="preserve"> </w:t>
      </w:r>
      <w:r w:rsidR="008D0935">
        <w:rPr>
          <w:rFonts w:ascii="Cambria" w:hAnsi="Cambria"/>
          <w:color w:val="000000"/>
        </w:rPr>
        <w:t>2008; 36: 333-</w:t>
      </w:r>
      <w:r w:rsidR="003C76CF" w:rsidRPr="00A33590">
        <w:rPr>
          <w:rFonts w:ascii="Cambria" w:hAnsi="Cambria"/>
          <w:color w:val="000000"/>
        </w:rPr>
        <w:t>64</w:t>
      </w:r>
    </w:p>
    <w:p w:rsidR="00FE07C5" w:rsidRPr="00D47AD0" w:rsidRDefault="00FE07C5" w:rsidP="00BE662C">
      <w:pPr>
        <w:spacing w:after="120" w:line="360" w:lineRule="auto"/>
        <w:jc w:val="both"/>
        <w:rPr>
          <w:szCs w:val="24"/>
        </w:rPr>
      </w:pPr>
    </w:p>
    <w:p w:rsidR="009F0730" w:rsidRPr="00D47AD0" w:rsidRDefault="009F0730" w:rsidP="00D47AD0">
      <w:pPr>
        <w:tabs>
          <w:tab w:val="clear" w:pos="0"/>
        </w:tabs>
        <w:spacing w:after="120"/>
        <w:rPr>
          <w:szCs w:val="24"/>
        </w:rPr>
      </w:pPr>
    </w:p>
    <w:p w:rsidR="00156266" w:rsidRDefault="00156266">
      <w:pPr>
        <w:tabs>
          <w:tab w:val="clear" w:pos="0"/>
        </w:tabs>
        <w:sectPr w:rsidR="00156266">
          <w:pgSz w:w="12240" w:h="15840"/>
          <w:pgMar w:top="1440" w:right="1800" w:bottom="1440" w:left="1800" w:header="709" w:footer="709" w:gutter="0"/>
          <w:cols w:space="709"/>
        </w:sectPr>
      </w:pPr>
    </w:p>
    <w:p w:rsidR="00156266" w:rsidRPr="00B83E93" w:rsidRDefault="00B83E93">
      <w:pPr>
        <w:tabs>
          <w:tab w:val="clear" w:pos="0"/>
        </w:tabs>
      </w:pPr>
      <w:r>
        <w:rPr>
          <w:b/>
        </w:rPr>
        <w:lastRenderedPageBreak/>
        <w:t xml:space="preserve">Table 1: </w:t>
      </w:r>
      <w:r>
        <w:t>What type of organisation is your laboratory part of?</w:t>
      </w:r>
    </w:p>
    <w:p w:rsidR="00B83E93" w:rsidRDefault="00B83E93">
      <w:pPr>
        <w:tabs>
          <w:tab w:val="clear" w:pos="0"/>
        </w:tabs>
      </w:pPr>
    </w:p>
    <w:p w:rsidR="00B83E93" w:rsidRDefault="00D65D4E">
      <w:pPr>
        <w:tabs>
          <w:tab w:val="clear" w:pos="0"/>
        </w:tabs>
      </w:pPr>
      <w:r>
        <w:rPr>
          <w:noProof/>
        </w:rPr>
        <w:drawing>
          <wp:inline distT="0" distB="0" distL="0" distR="0" wp14:anchorId="17EE43F7">
            <wp:extent cx="5430520" cy="1700530"/>
            <wp:effectExtent l="0" t="0" r="508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0520" cy="1700530"/>
                    </a:xfrm>
                    <a:prstGeom prst="rect">
                      <a:avLst/>
                    </a:prstGeom>
                    <a:noFill/>
                    <a:ln>
                      <a:noFill/>
                    </a:ln>
                  </pic:spPr>
                </pic:pic>
              </a:graphicData>
            </a:graphic>
          </wp:inline>
        </w:drawing>
      </w:r>
    </w:p>
    <w:p w:rsidR="00983CB4" w:rsidRDefault="00983CB4">
      <w:pPr>
        <w:tabs>
          <w:tab w:val="clear" w:pos="0"/>
        </w:tabs>
      </w:pPr>
    </w:p>
    <w:p w:rsidR="00983CB4" w:rsidRDefault="00B83E93">
      <w:pPr>
        <w:tabs>
          <w:tab w:val="clear" w:pos="0"/>
        </w:tabs>
      </w:pPr>
      <w:r>
        <w:t xml:space="preserve">Note that 27 of the 28 respondents answered this question. </w:t>
      </w:r>
    </w:p>
    <w:p w:rsidR="00156266" w:rsidRDefault="00156266">
      <w:pPr>
        <w:tabs>
          <w:tab w:val="clear" w:pos="0"/>
        </w:tabs>
      </w:pPr>
    </w:p>
    <w:p w:rsidR="00156266" w:rsidRDefault="00156266">
      <w:pPr>
        <w:tabs>
          <w:tab w:val="clear" w:pos="0"/>
        </w:tabs>
      </w:pPr>
    </w:p>
    <w:p w:rsidR="00E35F1E" w:rsidRDefault="00E35F1E">
      <w:pPr>
        <w:tabs>
          <w:tab w:val="clear" w:pos="0"/>
        </w:tabs>
      </w:pPr>
      <w:r>
        <w:br w:type="page"/>
      </w:r>
    </w:p>
    <w:p w:rsidR="00E35F1E" w:rsidRPr="009F0730" w:rsidRDefault="00E35F1E" w:rsidP="00E35F1E">
      <w:pPr>
        <w:spacing w:line="360" w:lineRule="auto"/>
        <w:jc w:val="both"/>
        <w:rPr>
          <w:b/>
        </w:rPr>
      </w:pPr>
      <w:r>
        <w:rPr>
          <w:b/>
        </w:rPr>
        <w:lastRenderedPageBreak/>
        <w:t xml:space="preserve">Table </w:t>
      </w:r>
      <w:r w:rsidR="00B83E93">
        <w:rPr>
          <w:b/>
        </w:rPr>
        <w:t>2</w:t>
      </w:r>
      <w:r>
        <w:rPr>
          <w:b/>
        </w:rPr>
        <w:t xml:space="preserve">: </w:t>
      </w:r>
      <w:r w:rsidRPr="009F0730">
        <w:rPr>
          <w:rFonts w:cs="Microsoft Sans Serif"/>
          <w:color w:val="000000"/>
        </w:rPr>
        <w:t xml:space="preserve">From your perspective, what are currently the most effective mechanisms to protect your lab's ability to provide genetic tests from the unnecessary, negative </w:t>
      </w:r>
      <w:proofErr w:type="spellStart"/>
      <w:r w:rsidRPr="009F0730">
        <w:rPr>
          <w:rFonts w:cs="Microsoft Sans Serif"/>
          <w:color w:val="000000"/>
        </w:rPr>
        <w:t>affects</w:t>
      </w:r>
      <w:proofErr w:type="spellEnd"/>
      <w:r w:rsidRPr="009F0730">
        <w:rPr>
          <w:rFonts w:cs="Microsoft Sans Serif"/>
          <w:color w:val="000000"/>
        </w:rPr>
        <w:t xml:space="preserve"> of 3rd party owned patents? Negative effects may include: </w:t>
      </w:r>
      <w:proofErr w:type="spellStart"/>
      <w:r w:rsidRPr="009F0730">
        <w:rPr>
          <w:rFonts w:cs="Microsoft Sans Serif"/>
          <w:color w:val="000000"/>
        </w:rPr>
        <w:t>turn around</w:t>
      </w:r>
      <w:proofErr w:type="spellEnd"/>
      <w:r w:rsidRPr="009F0730">
        <w:rPr>
          <w:rFonts w:cs="Microsoft Sans Serif"/>
          <w:color w:val="000000"/>
        </w:rPr>
        <w:t xml:space="preserve"> times, quality, cost, improvements, second opinions and the ability to the offer a test. Please respond N/A for any of the mechanisms listed below that are not applicable to your organisation.</w:t>
      </w:r>
    </w:p>
    <w:p w:rsidR="00E35F1E" w:rsidRDefault="00E35F1E" w:rsidP="00E35F1E">
      <w:pPr>
        <w:spacing w:line="360" w:lineRule="auto"/>
        <w:jc w:val="both"/>
      </w:pPr>
    </w:p>
    <w:tbl>
      <w:tblPr>
        <w:tblW w:w="8379" w:type="dxa"/>
        <w:tblInd w:w="93" w:type="dxa"/>
        <w:tblLayout w:type="fixed"/>
        <w:tblLook w:val="04A0" w:firstRow="1" w:lastRow="0" w:firstColumn="1" w:lastColumn="0" w:noHBand="0" w:noVBand="1"/>
      </w:tblPr>
      <w:tblGrid>
        <w:gridCol w:w="2709"/>
        <w:gridCol w:w="992"/>
        <w:gridCol w:w="850"/>
        <w:gridCol w:w="1134"/>
        <w:gridCol w:w="934"/>
        <w:gridCol w:w="934"/>
        <w:gridCol w:w="826"/>
      </w:tblGrid>
      <w:tr w:rsidR="00E35F1E" w:rsidRPr="00A06CE6" w:rsidTr="005C6071">
        <w:trPr>
          <w:trHeight w:val="600"/>
        </w:trPr>
        <w:tc>
          <w:tcPr>
            <w:tcW w:w="2709" w:type="dxa"/>
            <w:tcBorders>
              <w:top w:val="nil"/>
              <w:left w:val="nil"/>
              <w:right w:val="nil"/>
            </w:tcBorders>
            <w:shd w:val="clear" w:color="000000" w:fill="A6A6A6" w:themeFill="background1" w:themeFillShade="A6"/>
            <w:vAlign w:val="center"/>
            <w:hideMark/>
          </w:tcPr>
          <w:p w:rsidR="00E35F1E" w:rsidRPr="00A06CE6" w:rsidRDefault="00E35F1E" w:rsidP="005C6071">
            <w:pPr>
              <w:tabs>
                <w:tab w:val="clear" w:pos="0"/>
              </w:tabs>
              <w:rPr>
                <w:rFonts w:ascii="Cambria" w:eastAsia="Times New Roman" w:hAnsi="Cambria"/>
                <w:b/>
                <w:bCs/>
                <w:color w:val="000000"/>
                <w:sz w:val="20"/>
                <w:lang w:val="en-AU"/>
              </w:rPr>
            </w:pPr>
            <w:r w:rsidRPr="00A06CE6">
              <w:rPr>
                <w:rFonts w:ascii="Cambria" w:eastAsia="Times New Roman" w:hAnsi="Cambria"/>
                <w:b/>
                <w:bCs/>
                <w:color w:val="000000"/>
                <w:sz w:val="20"/>
                <w:lang w:val="en-AU"/>
              </w:rPr>
              <w:t>Answer Options</w:t>
            </w:r>
          </w:p>
        </w:tc>
        <w:tc>
          <w:tcPr>
            <w:tcW w:w="992" w:type="dxa"/>
            <w:tcBorders>
              <w:top w:val="nil"/>
              <w:left w:val="nil"/>
              <w:right w:val="nil"/>
            </w:tcBorders>
            <w:shd w:val="clear" w:color="000000" w:fill="A6A6A6" w:themeFill="background1" w:themeFillShade="A6"/>
            <w:vAlign w:val="center"/>
            <w:hideMark/>
          </w:tcPr>
          <w:p w:rsidR="00E35F1E" w:rsidRPr="00194F59" w:rsidRDefault="00E35F1E" w:rsidP="005C6071">
            <w:pPr>
              <w:tabs>
                <w:tab w:val="clear" w:pos="0"/>
              </w:tabs>
              <w:jc w:val="center"/>
              <w:rPr>
                <w:rFonts w:ascii="Cambria" w:eastAsia="Times New Roman" w:hAnsi="Cambria"/>
                <w:b/>
                <w:bCs/>
                <w:color w:val="000000"/>
                <w:sz w:val="16"/>
                <w:szCs w:val="16"/>
                <w:lang w:val="en-AU"/>
              </w:rPr>
            </w:pPr>
            <w:r w:rsidRPr="00194F59">
              <w:rPr>
                <w:rFonts w:ascii="Cambria" w:eastAsia="Times New Roman" w:hAnsi="Cambria"/>
                <w:b/>
                <w:bCs/>
                <w:color w:val="000000"/>
                <w:sz w:val="16"/>
                <w:szCs w:val="16"/>
                <w:lang w:val="en-AU"/>
              </w:rPr>
              <w:t>Extremely effective</w:t>
            </w:r>
          </w:p>
        </w:tc>
        <w:tc>
          <w:tcPr>
            <w:tcW w:w="850" w:type="dxa"/>
            <w:tcBorders>
              <w:top w:val="nil"/>
              <w:left w:val="nil"/>
              <w:right w:val="nil"/>
            </w:tcBorders>
            <w:shd w:val="clear" w:color="000000" w:fill="A6A6A6" w:themeFill="background1" w:themeFillShade="A6"/>
            <w:vAlign w:val="center"/>
            <w:hideMark/>
          </w:tcPr>
          <w:p w:rsidR="00E35F1E" w:rsidRPr="00194F59" w:rsidRDefault="00E35F1E" w:rsidP="005C6071">
            <w:pPr>
              <w:tabs>
                <w:tab w:val="clear" w:pos="0"/>
              </w:tabs>
              <w:jc w:val="center"/>
              <w:rPr>
                <w:rFonts w:ascii="Cambria" w:eastAsia="Times New Roman" w:hAnsi="Cambria"/>
                <w:b/>
                <w:bCs/>
                <w:color w:val="000000"/>
                <w:sz w:val="16"/>
                <w:szCs w:val="16"/>
                <w:lang w:val="en-AU"/>
              </w:rPr>
            </w:pPr>
            <w:r w:rsidRPr="00194F59">
              <w:rPr>
                <w:rFonts w:ascii="Cambria" w:eastAsia="Times New Roman" w:hAnsi="Cambria"/>
                <w:b/>
                <w:bCs/>
                <w:color w:val="000000"/>
                <w:sz w:val="16"/>
                <w:szCs w:val="16"/>
                <w:lang w:val="en-AU"/>
              </w:rPr>
              <w:t>Very effective</w:t>
            </w:r>
          </w:p>
        </w:tc>
        <w:tc>
          <w:tcPr>
            <w:tcW w:w="1134" w:type="dxa"/>
            <w:tcBorders>
              <w:top w:val="nil"/>
              <w:left w:val="nil"/>
              <w:right w:val="nil"/>
            </w:tcBorders>
            <w:shd w:val="clear" w:color="000000" w:fill="A6A6A6" w:themeFill="background1" w:themeFillShade="A6"/>
            <w:vAlign w:val="center"/>
            <w:hideMark/>
          </w:tcPr>
          <w:p w:rsidR="00E35F1E" w:rsidRPr="00194F59" w:rsidRDefault="00E35F1E" w:rsidP="005C6071">
            <w:pPr>
              <w:tabs>
                <w:tab w:val="clear" w:pos="0"/>
              </w:tabs>
              <w:jc w:val="center"/>
              <w:rPr>
                <w:rFonts w:ascii="Cambria" w:eastAsia="Times New Roman" w:hAnsi="Cambria"/>
                <w:b/>
                <w:bCs/>
                <w:color w:val="000000"/>
                <w:sz w:val="16"/>
                <w:szCs w:val="16"/>
                <w:lang w:val="en-AU"/>
              </w:rPr>
            </w:pPr>
            <w:r w:rsidRPr="00194F59">
              <w:rPr>
                <w:rFonts w:ascii="Cambria" w:eastAsia="Times New Roman" w:hAnsi="Cambria"/>
                <w:b/>
                <w:bCs/>
                <w:color w:val="000000"/>
                <w:sz w:val="16"/>
                <w:szCs w:val="16"/>
                <w:lang w:val="en-AU"/>
              </w:rPr>
              <w:t>Moderately effective</w:t>
            </w:r>
          </w:p>
        </w:tc>
        <w:tc>
          <w:tcPr>
            <w:tcW w:w="934" w:type="dxa"/>
            <w:tcBorders>
              <w:top w:val="nil"/>
              <w:left w:val="nil"/>
              <w:right w:val="nil"/>
            </w:tcBorders>
            <w:shd w:val="clear" w:color="000000" w:fill="A6A6A6" w:themeFill="background1" w:themeFillShade="A6"/>
            <w:vAlign w:val="center"/>
            <w:hideMark/>
          </w:tcPr>
          <w:p w:rsidR="00E35F1E" w:rsidRPr="00194F59" w:rsidRDefault="00E35F1E" w:rsidP="005C6071">
            <w:pPr>
              <w:tabs>
                <w:tab w:val="clear" w:pos="0"/>
              </w:tabs>
              <w:jc w:val="center"/>
              <w:rPr>
                <w:rFonts w:ascii="Cambria" w:eastAsia="Times New Roman" w:hAnsi="Cambria"/>
                <w:b/>
                <w:bCs/>
                <w:color w:val="000000"/>
                <w:sz w:val="16"/>
                <w:szCs w:val="16"/>
                <w:lang w:val="en-AU"/>
              </w:rPr>
            </w:pPr>
            <w:r w:rsidRPr="00194F59">
              <w:rPr>
                <w:rFonts w:ascii="Cambria" w:eastAsia="Times New Roman" w:hAnsi="Cambria"/>
                <w:b/>
                <w:bCs/>
                <w:color w:val="000000"/>
                <w:sz w:val="16"/>
                <w:szCs w:val="16"/>
                <w:lang w:val="en-AU"/>
              </w:rPr>
              <w:t>Not very effective</w:t>
            </w:r>
          </w:p>
        </w:tc>
        <w:tc>
          <w:tcPr>
            <w:tcW w:w="934" w:type="dxa"/>
            <w:tcBorders>
              <w:top w:val="nil"/>
              <w:left w:val="nil"/>
              <w:right w:val="nil"/>
            </w:tcBorders>
            <w:shd w:val="clear" w:color="000000" w:fill="A6A6A6" w:themeFill="background1" w:themeFillShade="A6"/>
            <w:vAlign w:val="center"/>
            <w:hideMark/>
          </w:tcPr>
          <w:p w:rsidR="00E35F1E" w:rsidRPr="00194F59" w:rsidRDefault="00E35F1E" w:rsidP="005C6071">
            <w:pPr>
              <w:tabs>
                <w:tab w:val="clear" w:pos="0"/>
              </w:tabs>
              <w:jc w:val="center"/>
              <w:rPr>
                <w:rFonts w:ascii="Cambria" w:eastAsia="Times New Roman" w:hAnsi="Cambria"/>
                <w:b/>
                <w:bCs/>
                <w:color w:val="000000"/>
                <w:sz w:val="16"/>
                <w:szCs w:val="16"/>
                <w:lang w:val="en-AU"/>
              </w:rPr>
            </w:pPr>
            <w:r w:rsidRPr="00194F59">
              <w:rPr>
                <w:rFonts w:ascii="Cambria" w:eastAsia="Times New Roman" w:hAnsi="Cambria"/>
                <w:b/>
                <w:bCs/>
                <w:color w:val="000000"/>
                <w:sz w:val="16"/>
                <w:szCs w:val="16"/>
                <w:lang w:val="en-AU"/>
              </w:rPr>
              <w:t>Not effective</w:t>
            </w:r>
          </w:p>
        </w:tc>
        <w:tc>
          <w:tcPr>
            <w:tcW w:w="826" w:type="dxa"/>
            <w:tcBorders>
              <w:top w:val="nil"/>
              <w:left w:val="nil"/>
              <w:right w:val="nil"/>
            </w:tcBorders>
            <w:shd w:val="clear" w:color="000000" w:fill="A6A6A6" w:themeFill="background1" w:themeFillShade="A6"/>
            <w:vAlign w:val="center"/>
            <w:hideMark/>
          </w:tcPr>
          <w:p w:rsidR="00E35F1E" w:rsidRPr="00194F59" w:rsidRDefault="00E35F1E" w:rsidP="005C6071">
            <w:pPr>
              <w:tabs>
                <w:tab w:val="clear" w:pos="0"/>
              </w:tabs>
              <w:jc w:val="center"/>
              <w:rPr>
                <w:rFonts w:ascii="Cambria" w:eastAsia="Times New Roman" w:hAnsi="Cambria"/>
                <w:b/>
                <w:bCs/>
                <w:color w:val="000000"/>
                <w:sz w:val="16"/>
                <w:szCs w:val="16"/>
                <w:lang w:val="en-AU"/>
              </w:rPr>
            </w:pPr>
            <w:r w:rsidRPr="00194F59">
              <w:rPr>
                <w:rFonts w:ascii="Cambria" w:eastAsia="Times New Roman" w:hAnsi="Cambria"/>
                <w:b/>
                <w:bCs/>
                <w:color w:val="000000"/>
                <w:sz w:val="16"/>
                <w:szCs w:val="16"/>
                <w:lang w:val="en-AU"/>
              </w:rPr>
              <w:t>N/A</w:t>
            </w:r>
          </w:p>
        </w:tc>
      </w:tr>
      <w:tr w:rsidR="00E35F1E" w:rsidRPr="00A06CE6" w:rsidTr="005C6071">
        <w:trPr>
          <w:trHeight w:val="260"/>
        </w:trPr>
        <w:tc>
          <w:tcPr>
            <w:tcW w:w="2709" w:type="dxa"/>
            <w:tcBorders>
              <w:top w:val="nil"/>
              <w:left w:val="nil"/>
              <w:bottom w:val="single" w:sz="8" w:space="0" w:color="FFFFFF" w:themeColor="background1"/>
              <w:right w:val="nil"/>
            </w:tcBorders>
            <w:shd w:val="clear" w:color="000000" w:fill="EEEEEE"/>
            <w:vAlign w:val="bottom"/>
            <w:hideMark/>
          </w:tcPr>
          <w:p w:rsidR="00E35F1E" w:rsidRPr="00A06CE6" w:rsidRDefault="00E35F1E"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Ignoring patent rights</w:t>
            </w:r>
          </w:p>
        </w:tc>
        <w:tc>
          <w:tcPr>
            <w:tcW w:w="992" w:type="dxa"/>
            <w:tcBorders>
              <w:top w:val="nil"/>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850" w:type="dxa"/>
            <w:tcBorders>
              <w:top w:val="nil"/>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2</w:t>
            </w:r>
          </w:p>
        </w:tc>
        <w:tc>
          <w:tcPr>
            <w:tcW w:w="1134" w:type="dxa"/>
            <w:tcBorders>
              <w:top w:val="nil"/>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5</w:t>
            </w:r>
          </w:p>
        </w:tc>
        <w:tc>
          <w:tcPr>
            <w:tcW w:w="934" w:type="dxa"/>
            <w:tcBorders>
              <w:top w:val="nil"/>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2</w:t>
            </w:r>
          </w:p>
        </w:tc>
        <w:tc>
          <w:tcPr>
            <w:tcW w:w="934" w:type="dxa"/>
            <w:tcBorders>
              <w:top w:val="nil"/>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5</w:t>
            </w:r>
          </w:p>
        </w:tc>
        <w:tc>
          <w:tcPr>
            <w:tcW w:w="826" w:type="dxa"/>
            <w:tcBorders>
              <w:top w:val="nil"/>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r>
      <w:tr w:rsidR="00E35F1E" w:rsidRPr="00A06CE6" w:rsidTr="005C6071">
        <w:trPr>
          <w:trHeight w:val="260"/>
        </w:trPr>
        <w:tc>
          <w:tcPr>
            <w:tcW w:w="2709" w:type="dxa"/>
            <w:tcBorders>
              <w:top w:val="single" w:sz="8" w:space="0" w:color="FFFFFF" w:themeColor="background1"/>
              <w:left w:val="nil"/>
              <w:bottom w:val="single" w:sz="8" w:space="0" w:color="FFFFFF" w:themeColor="background1"/>
              <w:right w:val="nil"/>
            </w:tcBorders>
            <w:shd w:val="clear" w:color="000000" w:fill="EEEEEE"/>
            <w:vAlign w:val="bottom"/>
            <w:hideMark/>
          </w:tcPr>
          <w:p w:rsidR="00E35F1E" w:rsidRPr="00A06CE6" w:rsidRDefault="00E35F1E"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Working/inventing around patent rights</w:t>
            </w:r>
          </w:p>
        </w:tc>
        <w:tc>
          <w:tcPr>
            <w:tcW w:w="992"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2</w:t>
            </w:r>
          </w:p>
        </w:tc>
        <w:tc>
          <w:tcPr>
            <w:tcW w:w="850"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11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5</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4</w:t>
            </w:r>
          </w:p>
        </w:tc>
        <w:tc>
          <w:tcPr>
            <w:tcW w:w="826"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6</w:t>
            </w:r>
          </w:p>
        </w:tc>
      </w:tr>
      <w:tr w:rsidR="00516417" w:rsidRPr="00A06CE6" w:rsidTr="005C6071">
        <w:trPr>
          <w:trHeight w:val="260"/>
        </w:trPr>
        <w:tc>
          <w:tcPr>
            <w:tcW w:w="2709" w:type="dxa"/>
            <w:tcBorders>
              <w:top w:val="single" w:sz="8" w:space="0" w:color="FFFFFF" w:themeColor="background1"/>
              <w:left w:val="nil"/>
              <w:bottom w:val="single" w:sz="8" w:space="0" w:color="FFFFFF" w:themeColor="background1"/>
              <w:right w:val="nil"/>
            </w:tcBorders>
            <w:shd w:val="clear" w:color="000000" w:fill="EEEEEE"/>
            <w:vAlign w:val="bottom"/>
            <w:hideMark/>
          </w:tcPr>
          <w:p w:rsidR="00516417" w:rsidRPr="00A06CE6" w:rsidRDefault="00516417"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Going to the media/public</w:t>
            </w:r>
          </w:p>
        </w:tc>
        <w:tc>
          <w:tcPr>
            <w:tcW w:w="992"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4</w:t>
            </w:r>
          </w:p>
        </w:tc>
        <w:tc>
          <w:tcPr>
            <w:tcW w:w="850"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2</w:t>
            </w:r>
          </w:p>
        </w:tc>
        <w:tc>
          <w:tcPr>
            <w:tcW w:w="11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4</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4</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826"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r>
      <w:tr w:rsidR="00516417" w:rsidRPr="00A06CE6" w:rsidTr="005C6071">
        <w:trPr>
          <w:trHeight w:val="260"/>
        </w:trPr>
        <w:tc>
          <w:tcPr>
            <w:tcW w:w="2709" w:type="dxa"/>
            <w:tcBorders>
              <w:top w:val="single" w:sz="8" w:space="0" w:color="FFFFFF" w:themeColor="background1"/>
              <w:left w:val="nil"/>
              <w:bottom w:val="single" w:sz="8" w:space="0" w:color="FFFFFF" w:themeColor="background1"/>
              <w:right w:val="nil"/>
            </w:tcBorders>
            <w:shd w:val="clear" w:color="000000" w:fill="EEEEEE"/>
            <w:vAlign w:val="bottom"/>
            <w:hideMark/>
          </w:tcPr>
          <w:p w:rsidR="00516417" w:rsidRPr="00A06CE6" w:rsidRDefault="00516417"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Negotiating a licence</w:t>
            </w:r>
          </w:p>
        </w:tc>
        <w:tc>
          <w:tcPr>
            <w:tcW w:w="992"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2</w:t>
            </w:r>
          </w:p>
        </w:tc>
        <w:tc>
          <w:tcPr>
            <w:tcW w:w="850"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11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6</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2</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826"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6</w:t>
            </w:r>
          </w:p>
        </w:tc>
      </w:tr>
      <w:tr w:rsidR="00516417" w:rsidRPr="00A06CE6" w:rsidTr="005C6071">
        <w:trPr>
          <w:trHeight w:val="260"/>
        </w:trPr>
        <w:tc>
          <w:tcPr>
            <w:tcW w:w="2709" w:type="dxa"/>
            <w:tcBorders>
              <w:top w:val="single" w:sz="8" w:space="0" w:color="FFFFFF" w:themeColor="background1"/>
              <w:left w:val="nil"/>
              <w:bottom w:val="single" w:sz="8" w:space="0" w:color="FFFFFF" w:themeColor="background1"/>
              <w:right w:val="nil"/>
            </w:tcBorders>
            <w:shd w:val="clear" w:color="000000" w:fill="EEEEEE"/>
            <w:vAlign w:val="bottom"/>
            <w:hideMark/>
          </w:tcPr>
          <w:p w:rsidR="00516417" w:rsidRPr="00A06CE6" w:rsidRDefault="00516417"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Litigating - contesting infringement and/or patent validity</w:t>
            </w:r>
          </w:p>
        </w:tc>
        <w:tc>
          <w:tcPr>
            <w:tcW w:w="992"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0</w:t>
            </w:r>
          </w:p>
        </w:tc>
        <w:tc>
          <w:tcPr>
            <w:tcW w:w="850"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11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2</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6</w:t>
            </w:r>
          </w:p>
        </w:tc>
        <w:tc>
          <w:tcPr>
            <w:tcW w:w="826"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9</w:t>
            </w:r>
          </w:p>
        </w:tc>
      </w:tr>
      <w:tr w:rsidR="00516417" w:rsidRPr="00A06CE6" w:rsidTr="005C6071">
        <w:trPr>
          <w:trHeight w:val="260"/>
        </w:trPr>
        <w:tc>
          <w:tcPr>
            <w:tcW w:w="2709" w:type="dxa"/>
            <w:tcBorders>
              <w:top w:val="single" w:sz="8" w:space="0" w:color="FFFFFF" w:themeColor="background1"/>
              <w:left w:val="nil"/>
              <w:bottom w:val="nil"/>
              <w:right w:val="nil"/>
            </w:tcBorders>
            <w:shd w:val="clear" w:color="000000" w:fill="EEEEEE"/>
            <w:vAlign w:val="bottom"/>
            <w:hideMark/>
          </w:tcPr>
          <w:p w:rsidR="00516417" w:rsidRPr="00A06CE6" w:rsidRDefault="00516417"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Relying on the government to litigate infringement and/or patent validity</w:t>
            </w:r>
          </w:p>
        </w:tc>
        <w:tc>
          <w:tcPr>
            <w:tcW w:w="992" w:type="dxa"/>
            <w:tcBorders>
              <w:top w:val="single" w:sz="8" w:space="0" w:color="FFFFFF" w:themeColor="background1"/>
              <w:left w:val="nil"/>
              <w:bottom w:val="nil"/>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850" w:type="dxa"/>
            <w:tcBorders>
              <w:top w:val="single" w:sz="8" w:space="0" w:color="FFFFFF" w:themeColor="background1"/>
              <w:left w:val="nil"/>
              <w:bottom w:val="nil"/>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1134" w:type="dxa"/>
            <w:tcBorders>
              <w:top w:val="single" w:sz="8" w:space="0" w:color="FFFFFF" w:themeColor="background1"/>
              <w:left w:val="nil"/>
              <w:bottom w:val="nil"/>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2</w:t>
            </w:r>
          </w:p>
        </w:tc>
        <w:tc>
          <w:tcPr>
            <w:tcW w:w="934" w:type="dxa"/>
            <w:tcBorders>
              <w:top w:val="single" w:sz="8" w:space="0" w:color="FFFFFF" w:themeColor="background1"/>
              <w:left w:val="nil"/>
              <w:bottom w:val="nil"/>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5</w:t>
            </w:r>
          </w:p>
        </w:tc>
        <w:tc>
          <w:tcPr>
            <w:tcW w:w="934" w:type="dxa"/>
            <w:tcBorders>
              <w:top w:val="single" w:sz="8" w:space="0" w:color="FFFFFF" w:themeColor="background1"/>
              <w:left w:val="nil"/>
              <w:bottom w:val="nil"/>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5</w:t>
            </w:r>
          </w:p>
        </w:tc>
        <w:tc>
          <w:tcPr>
            <w:tcW w:w="826" w:type="dxa"/>
            <w:tcBorders>
              <w:top w:val="single" w:sz="8" w:space="0" w:color="FFFFFF" w:themeColor="background1"/>
              <w:left w:val="nil"/>
              <w:bottom w:val="nil"/>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5</w:t>
            </w:r>
          </w:p>
        </w:tc>
      </w:tr>
      <w:tr w:rsidR="00516417" w:rsidRPr="00A06CE6" w:rsidTr="005C6071">
        <w:trPr>
          <w:trHeight w:val="260"/>
        </w:trPr>
        <w:tc>
          <w:tcPr>
            <w:tcW w:w="2709" w:type="dxa"/>
            <w:tcBorders>
              <w:top w:val="single" w:sz="8" w:space="0" w:color="FFFFFF" w:themeColor="background1"/>
              <w:left w:val="nil"/>
              <w:bottom w:val="single" w:sz="8" w:space="0" w:color="FFFFFF" w:themeColor="background1"/>
              <w:right w:val="nil"/>
            </w:tcBorders>
            <w:shd w:val="clear" w:color="000000" w:fill="EEEEEE"/>
            <w:vAlign w:val="bottom"/>
            <w:hideMark/>
          </w:tcPr>
          <w:p w:rsidR="00516417" w:rsidRPr="00A06CE6" w:rsidRDefault="00516417"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Relying on the government to take action to facilitate use by your lab</w:t>
            </w:r>
          </w:p>
        </w:tc>
        <w:tc>
          <w:tcPr>
            <w:tcW w:w="992"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850"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11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7</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4</w:t>
            </w:r>
          </w:p>
        </w:tc>
        <w:tc>
          <w:tcPr>
            <w:tcW w:w="826"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r>
      <w:tr w:rsidR="00516417" w:rsidRPr="00A06CE6" w:rsidTr="005C6071">
        <w:trPr>
          <w:trHeight w:val="260"/>
        </w:trPr>
        <w:tc>
          <w:tcPr>
            <w:tcW w:w="2709" w:type="dxa"/>
            <w:tcBorders>
              <w:top w:val="single" w:sz="8" w:space="0" w:color="FFFFFF" w:themeColor="background1"/>
              <w:left w:val="nil"/>
              <w:bottom w:val="single" w:sz="8" w:space="0" w:color="FFFFFF" w:themeColor="background1"/>
              <w:right w:val="nil"/>
            </w:tcBorders>
            <w:shd w:val="clear" w:color="000000" w:fill="EEEEEE"/>
            <w:vAlign w:val="bottom"/>
            <w:hideMark/>
          </w:tcPr>
          <w:p w:rsidR="00516417" w:rsidRPr="00A06CE6" w:rsidRDefault="00516417"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Initiating legal action to obtain a compulsory licence</w:t>
            </w:r>
          </w:p>
        </w:tc>
        <w:tc>
          <w:tcPr>
            <w:tcW w:w="992"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0</w:t>
            </w:r>
          </w:p>
        </w:tc>
        <w:tc>
          <w:tcPr>
            <w:tcW w:w="850"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11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2</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5</w:t>
            </w:r>
          </w:p>
        </w:tc>
        <w:tc>
          <w:tcPr>
            <w:tcW w:w="826"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9</w:t>
            </w:r>
          </w:p>
        </w:tc>
      </w:tr>
      <w:tr w:rsidR="00E35F1E" w:rsidRPr="00A06CE6" w:rsidTr="005C6071">
        <w:trPr>
          <w:trHeight w:val="260"/>
        </w:trPr>
        <w:tc>
          <w:tcPr>
            <w:tcW w:w="2709" w:type="dxa"/>
            <w:tcBorders>
              <w:top w:val="single" w:sz="8" w:space="0" w:color="FFFFFF" w:themeColor="background1"/>
              <w:left w:val="nil"/>
              <w:bottom w:val="single" w:sz="8" w:space="0" w:color="FFFFFF" w:themeColor="background1"/>
              <w:right w:val="nil"/>
            </w:tcBorders>
            <w:shd w:val="clear" w:color="000000" w:fill="EEEEEE"/>
            <w:vAlign w:val="bottom"/>
            <w:hideMark/>
          </w:tcPr>
          <w:p w:rsidR="00E35F1E" w:rsidRPr="00A06CE6" w:rsidRDefault="00E35F1E"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A pool of all relevant patents funded by an independent party, allowing labs to pay a fee based on usage</w:t>
            </w:r>
          </w:p>
        </w:tc>
        <w:tc>
          <w:tcPr>
            <w:tcW w:w="992"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850"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11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4</w:t>
            </w:r>
          </w:p>
        </w:tc>
        <w:tc>
          <w:tcPr>
            <w:tcW w:w="826"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7</w:t>
            </w:r>
          </w:p>
        </w:tc>
      </w:tr>
      <w:tr w:rsidR="00E35F1E" w:rsidRPr="00A06CE6" w:rsidTr="005C6071">
        <w:trPr>
          <w:trHeight w:val="260"/>
        </w:trPr>
        <w:tc>
          <w:tcPr>
            <w:tcW w:w="2709" w:type="dxa"/>
            <w:tcBorders>
              <w:top w:val="single" w:sz="8" w:space="0" w:color="FFFFFF" w:themeColor="background1"/>
              <w:left w:val="nil"/>
              <w:bottom w:val="single" w:sz="8" w:space="0" w:color="FFFFFF" w:themeColor="background1"/>
              <w:right w:val="nil"/>
            </w:tcBorders>
            <w:shd w:val="clear" w:color="000000" w:fill="EEEEEE"/>
            <w:vAlign w:val="bottom"/>
            <w:hideMark/>
          </w:tcPr>
          <w:p w:rsidR="00E35F1E" w:rsidRPr="00A06CE6" w:rsidRDefault="00E35F1E"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Invoking the research exemption</w:t>
            </w:r>
          </w:p>
        </w:tc>
        <w:tc>
          <w:tcPr>
            <w:tcW w:w="992"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0</w:t>
            </w:r>
          </w:p>
        </w:tc>
        <w:tc>
          <w:tcPr>
            <w:tcW w:w="850"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2</w:t>
            </w:r>
          </w:p>
        </w:tc>
        <w:tc>
          <w:tcPr>
            <w:tcW w:w="11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4</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826"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7</w:t>
            </w:r>
          </w:p>
        </w:tc>
      </w:tr>
      <w:tr w:rsidR="00516417" w:rsidRPr="00A06CE6" w:rsidTr="005C6071">
        <w:trPr>
          <w:trHeight w:val="260"/>
        </w:trPr>
        <w:tc>
          <w:tcPr>
            <w:tcW w:w="2709" w:type="dxa"/>
            <w:tcBorders>
              <w:top w:val="single" w:sz="8" w:space="0" w:color="FFFFFF" w:themeColor="background1"/>
              <w:left w:val="nil"/>
              <w:bottom w:val="single" w:sz="8" w:space="0" w:color="FFFFFF" w:themeColor="background1"/>
              <w:right w:val="nil"/>
            </w:tcBorders>
            <w:shd w:val="clear" w:color="000000" w:fill="EEEEEE"/>
            <w:vAlign w:val="bottom"/>
            <w:hideMark/>
          </w:tcPr>
          <w:p w:rsidR="00516417" w:rsidRPr="00A06CE6" w:rsidRDefault="00516417"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Commercial realities e.g. bargaining power</w:t>
            </w:r>
          </w:p>
        </w:tc>
        <w:tc>
          <w:tcPr>
            <w:tcW w:w="992"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0</w:t>
            </w:r>
          </w:p>
        </w:tc>
        <w:tc>
          <w:tcPr>
            <w:tcW w:w="850"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11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4</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3</w:t>
            </w:r>
          </w:p>
        </w:tc>
        <w:tc>
          <w:tcPr>
            <w:tcW w:w="826"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7</w:t>
            </w:r>
          </w:p>
        </w:tc>
      </w:tr>
      <w:tr w:rsidR="00E35F1E" w:rsidRPr="00A06CE6" w:rsidTr="005C6071">
        <w:trPr>
          <w:trHeight w:val="260"/>
        </w:trPr>
        <w:tc>
          <w:tcPr>
            <w:tcW w:w="2709" w:type="dxa"/>
            <w:tcBorders>
              <w:top w:val="single" w:sz="8" w:space="0" w:color="FFFFFF" w:themeColor="background1"/>
              <w:left w:val="nil"/>
              <w:bottom w:val="single" w:sz="8" w:space="0" w:color="FFFFFF" w:themeColor="background1"/>
              <w:right w:val="nil"/>
            </w:tcBorders>
            <w:shd w:val="clear" w:color="000000" w:fill="EEEEEE"/>
            <w:vAlign w:val="bottom"/>
            <w:hideMark/>
          </w:tcPr>
          <w:p w:rsidR="00E35F1E" w:rsidRPr="00A06CE6" w:rsidRDefault="00E35F1E"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Difficulties faced by 3rd parties in enforcing patents</w:t>
            </w:r>
          </w:p>
        </w:tc>
        <w:tc>
          <w:tcPr>
            <w:tcW w:w="992"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850"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11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6</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5</w:t>
            </w:r>
          </w:p>
        </w:tc>
        <w:tc>
          <w:tcPr>
            <w:tcW w:w="826"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E35F1E" w:rsidRPr="00A06CE6" w:rsidRDefault="00E35F1E"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6</w:t>
            </w:r>
          </w:p>
        </w:tc>
      </w:tr>
      <w:tr w:rsidR="00516417" w:rsidRPr="00A06CE6" w:rsidTr="00516417">
        <w:trPr>
          <w:trHeight w:val="260"/>
        </w:trPr>
        <w:tc>
          <w:tcPr>
            <w:tcW w:w="2709" w:type="dxa"/>
            <w:tcBorders>
              <w:top w:val="single" w:sz="8" w:space="0" w:color="FFFFFF" w:themeColor="background1"/>
              <w:left w:val="nil"/>
              <w:bottom w:val="single" w:sz="8" w:space="0" w:color="FFFFFF" w:themeColor="background1"/>
              <w:right w:val="nil"/>
            </w:tcBorders>
            <w:shd w:val="clear" w:color="000000" w:fill="EEEEEE"/>
            <w:vAlign w:val="bottom"/>
            <w:hideMark/>
          </w:tcPr>
          <w:p w:rsidR="00516417" w:rsidRPr="00A06CE6" w:rsidRDefault="00516417" w:rsidP="005C6071">
            <w:pPr>
              <w:tabs>
                <w:tab w:val="clear" w:pos="0"/>
              </w:tabs>
              <w:spacing w:before="40" w:after="40"/>
              <w:rPr>
                <w:rFonts w:ascii="Cambria" w:eastAsia="Times New Roman" w:hAnsi="Cambria"/>
                <w:sz w:val="20"/>
                <w:lang w:val="en-AU"/>
              </w:rPr>
            </w:pPr>
            <w:r w:rsidRPr="00A06CE6">
              <w:rPr>
                <w:rFonts w:ascii="Cambria" w:eastAsia="Times New Roman" w:hAnsi="Cambria"/>
                <w:sz w:val="20"/>
                <w:lang w:val="en-AU"/>
              </w:rPr>
              <w:t>Acquiring the 3rd party</w:t>
            </w:r>
          </w:p>
        </w:tc>
        <w:tc>
          <w:tcPr>
            <w:tcW w:w="992"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0</w:t>
            </w:r>
          </w:p>
        </w:tc>
        <w:tc>
          <w:tcPr>
            <w:tcW w:w="850"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0</w:t>
            </w:r>
          </w:p>
        </w:tc>
        <w:tc>
          <w:tcPr>
            <w:tcW w:w="11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2</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w:t>
            </w:r>
          </w:p>
        </w:tc>
        <w:tc>
          <w:tcPr>
            <w:tcW w:w="934"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5</w:t>
            </w:r>
          </w:p>
        </w:tc>
        <w:tc>
          <w:tcPr>
            <w:tcW w:w="826" w:type="dxa"/>
            <w:tcBorders>
              <w:top w:val="single" w:sz="8" w:space="0" w:color="FFFFFF" w:themeColor="background1"/>
              <w:left w:val="nil"/>
              <w:bottom w:val="single" w:sz="8" w:space="0" w:color="FFFFFF" w:themeColor="background1"/>
              <w:right w:val="nil"/>
            </w:tcBorders>
            <w:shd w:val="clear" w:color="000000" w:fill="EEEEEE"/>
            <w:noWrap/>
            <w:vAlign w:val="center"/>
            <w:hideMark/>
          </w:tcPr>
          <w:p w:rsidR="00516417" w:rsidRPr="00A06CE6" w:rsidRDefault="00516417" w:rsidP="005C6071">
            <w:pPr>
              <w:tabs>
                <w:tab w:val="clear" w:pos="0"/>
              </w:tabs>
              <w:spacing w:before="40" w:after="40"/>
              <w:jc w:val="center"/>
              <w:rPr>
                <w:rFonts w:ascii="Cambria" w:eastAsia="Times New Roman" w:hAnsi="Cambria"/>
                <w:sz w:val="20"/>
                <w:lang w:val="en-AU"/>
              </w:rPr>
            </w:pPr>
            <w:r w:rsidRPr="00A06CE6">
              <w:rPr>
                <w:rFonts w:ascii="Cambria" w:eastAsia="Times New Roman" w:hAnsi="Cambria"/>
                <w:sz w:val="20"/>
                <w:lang w:val="en-AU"/>
              </w:rPr>
              <w:t>12</w:t>
            </w:r>
          </w:p>
        </w:tc>
      </w:tr>
    </w:tbl>
    <w:p w:rsidR="00E35F1E" w:rsidRDefault="00E35F1E" w:rsidP="00E35F1E">
      <w:pPr>
        <w:spacing w:line="360" w:lineRule="auto"/>
        <w:jc w:val="both"/>
      </w:pPr>
    </w:p>
    <w:p w:rsidR="00E35F1E" w:rsidRDefault="00E35F1E" w:rsidP="00E35F1E">
      <w:pPr>
        <w:spacing w:line="360" w:lineRule="auto"/>
        <w:jc w:val="both"/>
      </w:pPr>
      <w:r>
        <w:t>Note that there were between 19 and 21 responses for each option.</w:t>
      </w:r>
    </w:p>
    <w:p w:rsidR="00533AA7" w:rsidRDefault="00533AA7" w:rsidP="0048062E">
      <w:pPr>
        <w:keepNext/>
        <w:spacing w:line="360" w:lineRule="auto"/>
        <w:jc w:val="both"/>
      </w:pPr>
    </w:p>
    <w:sectPr w:rsidR="00533AA7" w:rsidSect="00E35F1E">
      <w:pgSz w:w="12240" w:h="15840"/>
      <w:pgMar w:top="1440" w:right="1800" w:bottom="1440"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87" w:rsidRDefault="00566587">
      <w:r>
        <w:separator/>
      </w:r>
    </w:p>
  </w:endnote>
  <w:endnote w:type="continuationSeparator" w:id="0">
    <w:p w:rsidR="00566587" w:rsidRDefault="0056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CA8" w:rsidRDefault="00CB5CA8">
    <w:pPr>
      <w:pStyle w:val="Footer"/>
      <w:jc w:val="right"/>
    </w:pPr>
    <w:r>
      <w:rPr>
        <w:rStyle w:val="PageNumber"/>
      </w:rPr>
      <w:fldChar w:fldCharType="begin"/>
    </w:r>
    <w:r>
      <w:rPr>
        <w:rStyle w:val="PageNumber"/>
      </w:rPr>
      <w:instrText xml:space="preserve"> PAGE </w:instrText>
    </w:r>
    <w:r>
      <w:rPr>
        <w:rStyle w:val="PageNumber"/>
      </w:rPr>
      <w:fldChar w:fldCharType="separate"/>
    </w:r>
    <w:r w:rsidR="00A36991">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87" w:rsidRDefault="00566587">
      <w:r>
        <w:separator/>
      </w:r>
    </w:p>
  </w:footnote>
  <w:footnote w:type="continuationSeparator" w:id="0">
    <w:p w:rsidR="00566587" w:rsidRDefault="0056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7752C0"/>
    <w:multiLevelType w:val="hybridMultilevel"/>
    <w:tmpl w:val="86C84C66"/>
    <w:lvl w:ilvl="0" w:tplc="000F0409">
      <w:start w:val="1"/>
      <w:numFmt w:val="decimal"/>
      <w:lvlText w:val="%1."/>
      <w:lvlJc w:val="left"/>
      <w:pPr>
        <w:tabs>
          <w:tab w:val="num" w:pos="720"/>
        </w:tabs>
        <w:ind w:left="720" w:hanging="360"/>
      </w:pPr>
    </w:lvl>
    <w:lvl w:ilvl="1" w:tplc="1B588F12">
      <w:numFmt w:val="bullet"/>
      <w:lvlText w:val=""/>
      <w:lvlJc w:val="left"/>
      <w:pPr>
        <w:tabs>
          <w:tab w:val="num" w:pos="1440"/>
        </w:tabs>
        <w:ind w:left="1440" w:hanging="360"/>
      </w:pPr>
      <w:rPr>
        <w:rFonts w:ascii="Symbol" w:eastAsia="Times"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D261874"/>
    <w:multiLevelType w:val="hybridMultilevel"/>
    <w:tmpl w:val="83EA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327B4"/>
    <w:multiLevelType w:val="hybridMultilevel"/>
    <w:tmpl w:val="AEA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A6"/>
    <w:rsid w:val="00020B9F"/>
    <w:rsid w:val="000326E6"/>
    <w:rsid w:val="00046A9B"/>
    <w:rsid w:val="0005274F"/>
    <w:rsid w:val="00076C26"/>
    <w:rsid w:val="000A1399"/>
    <w:rsid w:val="000B322C"/>
    <w:rsid w:val="00114DDA"/>
    <w:rsid w:val="00125395"/>
    <w:rsid w:val="00146E26"/>
    <w:rsid w:val="00156266"/>
    <w:rsid w:val="00161C5A"/>
    <w:rsid w:val="001A0812"/>
    <w:rsid w:val="001A7B84"/>
    <w:rsid w:val="001D2256"/>
    <w:rsid w:val="002021A9"/>
    <w:rsid w:val="002408DF"/>
    <w:rsid w:val="00250EFF"/>
    <w:rsid w:val="00264765"/>
    <w:rsid w:val="00274458"/>
    <w:rsid w:val="002754C5"/>
    <w:rsid w:val="002A5977"/>
    <w:rsid w:val="002A65D6"/>
    <w:rsid w:val="002C1B38"/>
    <w:rsid w:val="002E70B1"/>
    <w:rsid w:val="002F2C24"/>
    <w:rsid w:val="002F32A1"/>
    <w:rsid w:val="0030289D"/>
    <w:rsid w:val="0031634A"/>
    <w:rsid w:val="00320D11"/>
    <w:rsid w:val="00327151"/>
    <w:rsid w:val="00343A87"/>
    <w:rsid w:val="00373042"/>
    <w:rsid w:val="00376CFD"/>
    <w:rsid w:val="00381CCC"/>
    <w:rsid w:val="003961D8"/>
    <w:rsid w:val="003975FA"/>
    <w:rsid w:val="003C76CF"/>
    <w:rsid w:val="003D539A"/>
    <w:rsid w:val="003E5075"/>
    <w:rsid w:val="00405F28"/>
    <w:rsid w:val="00420B1B"/>
    <w:rsid w:val="004700BA"/>
    <w:rsid w:val="00474B86"/>
    <w:rsid w:val="0048062E"/>
    <w:rsid w:val="004808B7"/>
    <w:rsid w:val="004841B9"/>
    <w:rsid w:val="00491665"/>
    <w:rsid w:val="004C3A6A"/>
    <w:rsid w:val="004D00C4"/>
    <w:rsid w:val="004D184D"/>
    <w:rsid w:val="004D2D0E"/>
    <w:rsid w:val="004E2D1E"/>
    <w:rsid w:val="004E4765"/>
    <w:rsid w:val="004E6E7B"/>
    <w:rsid w:val="004F6E5B"/>
    <w:rsid w:val="00501D49"/>
    <w:rsid w:val="00512AE5"/>
    <w:rsid w:val="00516417"/>
    <w:rsid w:val="00533AA7"/>
    <w:rsid w:val="005517B9"/>
    <w:rsid w:val="005522F4"/>
    <w:rsid w:val="005548FE"/>
    <w:rsid w:val="00556920"/>
    <w:rsid w:val="005600F9"/>
    <w:rsid w:val="00566587"/>
    <w:rsid w:val="00575B1A"/>
    <w:rsid w:val="00582027"/>
    <w:rsid w:val="005C6071"/>
    <w:rsid w:val="005E0F71"/>
    <w:rsid w:val="005E1D02"/>
    <w:rsid w:val="00602866"/>
    <w:rsid w:val="006224C4"/>
    <w:rsid w:val="00627B5C"/>
    <w:rsid w:val="00632870"/>
    <w:rsid w:val="00660845"/>
    <w:rsid w:val="00663B1D"/>
    <w:rsid w:val="006649E4"/>
    <w:rsid w:val="006877DF"/>
    <w:rsid w:val="006A465F"/>
    <w:rsid w:val="006B1807"/>
    <w:rsid w:val="006F5B45"/>
    <w:rsid w:val="007214AC"/>
    <w:rsid w:val="007417AA"/>
    <w:rsid w:val="007574F3"/>
    <w:rsid w:val="00770E85"/>
    <w:rsid w:val="00783D93"/>
    <w:rsid w:val="00786409"/>
    <w:rsid w:val="007B63EF"/>
    <w:rsid w:val="007B7F88"/>
    <w:rsid w:val="007D540E"/>
    <w:rsid w:val="007D6D09"/>
    <w:rsid w:val="007F13AB"/>
    <w:rsid w:val="007F3C57"/>
    <w:rsid w:val="008040D0"/>
    <w:rsid w:val="008238B9"/>
    <w:rsid w:val="0083022D"/>
    <w:rsid w:val="008318E2"/>
    <w:rsid w:val="0084036A"/>
    <w:rsid w:val="00842CAD"/>
    <w:rsid w:val="00870385"/>
    <w:rsid w:val="0088534D"/>
    <w:rsid w:val="00892F59"/>
    <w:rsid w:val="008C24C1"/>
    <w:rsid w:val="008D0935"/>
    <w:rsid w:val="008E7C2D"/>
    <w:rsid w:val="008F1071"/>
    <w:rsid w:val="00905734"/>
    <w:rsid w:val="0091105C"/>
    <w:rsid w:val="00931ABD"/>
    <w:rsid w:val="00962A63"/>
    <w:rsid w:val="00983CB4"/>
    <w:rsid w:val="009F0730"/>
    <w:rsid w:val="009F378A"/>
    <w:rsid w:val="00A0103C"/>
    <w:rsid w:val="00A06CE6"/>
    <w:rsid w:val="00A11724"/>
    <w:rsid w:val="00A21F5D"/>
    <w:rsid w:val="00A35547"/>
    <w:rsid w:val="00A36991"/>
    <w:rsid w:val="00A57321"/>
    <w:rsid w:val="00AB2A34"/>
    <w:rsid w:val="00AB60CE"/>
    <w:rsid w:val="00AD22A1"/>
    <w:rsid w:val="00AF2FD8"/>
    <w:rsid w:val="00AF35EA"/>
    <w:rsid w:val="00AF7359"/>
    <w:rsid w:val="00B25137"/>
    <w:rsid w:val="00B4501C"/>
    <w:rsid w:val="00B53B72"/>
    <w:rsid w:val="00B57265"/>
    <w:rsid w:val="00B6013B"/>
    <w:rsid w:val="00B62F0E"/>
    <w:rsid w:val="00B826CF"/>
    <w:rsid w:val="00B83E93"/>
    <w:rsid w:val="00B862A2"/>
    <w:rsid w:val="00BA3AED"/>
    <w:rsid w:val="00BB6D59"/>
    <w:rsid w:val="00BD67A6"/>
    <w:rsid w:val="00BE662C"/>
    <w:rsid w:val="00C03ECB"/>
    <w:rsid w:val="00C360DD"/>
    <w:rsid w:val="00C631FA"/>
    <w:rsid w:val="00CB5CA8"/>
    <w:rsid w:val="00CF768F"/>
    <w:rsid w:val="00D003ED"/>
    <w:rsid w:val="00D45183"/>
    <w:rsid w:val="00D47AD0"/>
    <w:rsid w:val="00D65D4E"/>
    <w:rsid w:val="00D6645E"/>
    <w:rsid w:val="00D67A6B"/>
    <w:rsid w:val="00D70778"/>
    <w:rsid w:val="00D75403"/>
    <w:rsid w:val="00D76BE5"/>
    <w:rsid w:val="00D95F8C"/>
    <w:rsid w:val="00DA0181"/>
    <w:rsid w:val="00DA4237"/>
    <w:rsid w:val="00DB268C"/>
    <w:rsid w:val="00E11B25"/>
    <w:rsid w:val="00E15685"/>
    <w:rsid w:val="00E1741A"/>
    <w:rsid w:val="00E26EDD"/>
    <w:rsid w:val="00E27EAF"/>
    <w:rsid w:val="00E32DD6"/>
    <w:rsid w:val="00E35F1E"/>
    <w:rsid w:val="00E42D87"/>
    <w:rsid w:val="00E462F7"/>
    <w:rsid w:val="00E6494E"/>
    <w:rsid w:val="00E70866"/>
    <w:rsid w:val="00E9094C"/>
    <w:rsid w:val="00EB1172"/>
    <w:rsid w:val="00EB6877"/>
    <w:rsid w:val="00EF51FB"/>
    <w:rsid w:val="00EF56A6"/>
    <w:rsid w:val="00EF5C1B"/>
    <w:rsid w:val="00EF7742"/>
    <w:rsid w:val="00F154CE"/>
    <w:rsid w:val="00F40B2E"/>
    <w:rsid w:val="00F43349"/>
    <w:rsid w:val="00F469AB"/>
    <w:rsid w:val="00F53824"/>
    <w:rsid w:val="00F8308A"/>
    <w:rsid w:val="00F902FF"/>
    <w:rsid w:val="00FA61DA"/>
    <w:rsid w:val="00FA7CAF"/>
    <w:rsid w:val="00FB072F"/>
    <w:rsid w:val="00FC151E"/>
    <w:rsid w:val="00FE07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A7EB178-A537-9948-968F-DDC692E2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AA7"/>
    <w:pPr>
      <w:tabs>
        <w:tab w:val="left" w:pos="0"/>
      </w:tabs>
    </w:pPr>
    <w:rPr>
      <w:rFonts w:asciiTheme="minorHAnsi" w:hAnsiTheme="minorHAnsi"/>
      <w:sz w:val="24"/>
      <w:lang w:val="en-GB"/>
    </w:rPr>
  </w:style>
  <w:style w:type="paragraph" w:styleId="Heading1">
    <w:name w:val="heading 1"/>
    <w:basedOn w:val="Normal"/>
    <w:next w:val="Normal"/>
    <w:qFormat/>
    <w:rsid w:val="006649E4"/>
    <w:pPr>
      <w:keepNext/>
      <w:spacing w:line="480" w:lineRule="auto"/>
      <w:outlineLvl w:val="0"/>
    </w:pPr>
    <w:rPr>
      <w:b/>
    </w:rPr>
  </w:style>
  <w:style w:type="paragraph" w:styleId="Heading2">
    <w:name w:val="heading 2"/>
    <w:basedOn w:val="Normal"/>
    <w:next w:val="Normal"/>
    <w:qFormat/>
    <w:rsid w:val="006649E4"/>
    <w:pPr>
      <w:keepNext/>
      <w:spacing w:line="48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tyle">
    <w:name w:val="Di style"/>
    <w:basedOn w:val="Normal"/>
    <w:rsid w:val="006649E4"/>
    <w:pPr>
      <w:spacing w:line="360" w:lineRule="auto"/>
      <w:jc w:val="both"/>
    </w:pPr>
  </w:style>
  <w:style w:type="paragraph" w:customStyle="1" w:styleId="Difootnotes">
    <w:name w:val="Di footnotes"/>
    <w:basedOn w:val="FootnoteText"/>
    <w:rsid w:val="006649E4"/>
    <w:pPr>
      <w:tabs>
        <w:tab w:val="clear" w:pos="0"/>
      </w:tabs>
      <w:spacing w:after="80"/>
      <w:jc w:val="both"/>
    </w:pPr>
    <w:rPr>
      <w:rFonts w:eastAsia="Times New Roman"/>
      <w:lang w:val="en-US"/>
    </w:rPr>
  </w:style>
  <w:style w:type="paragraph" w:styleId="FootnoteText">
    <w:name w:val="footnote text"/>
    <w:basedOn w:val="Normal"/>
    <w:semiHidden/>
    <w:rsid w:val="006649E4"/>
    <w:rPr>
      <w:sz w:val="20"/>
    </w:rPr>
  </w:style>
  <w:style w:type="paragraph" w:styleId="BodyText2">
    <w:name w:val="Body Text 2"/>
    <w:basedOn w:val="Normal"/>
    <w:semiHidden/>
    <w:rsid w:val="006649E4"/>
    <w:pPr>
      <w:jc w:val="center"/>
    </w:pPr>
    <w:rPr>
      <w:b/>
      <w:sz w:val="28"/>
    </w:rPr>
  </w:style>
  <w:style w:type="character" w:styleId="Hyperlink">
    <w:name w:val="Hyperlink"/>
    <w:rsid w:val="006649E4"/>
    <w:rPr>
      <w:color w:val="0000FF"/>
      <w:u w:val="single"/>
    </w:rPr>
  </w:style>
  <w:style w:type="character" w:styleId="FootnoteReference">
    <w:name w:val="footnote reference"/>
    <w:uiPriority w:val="99"/>
    <w:rsid w:val="006649E4"/>
    <w:rPr>
      <w:rFonts w:ascii="Garamond" w:hAnsi="Garamond"/>
      <w:sz w:val="20"/>
      <w:vertAlign w:val="superscript"/>
    </w:rPr>
  </w:style>
  <w:style w:type="character" w:styleId="PageNumber">
    <w:name w:val="page number"/>
    <w:basedOn w:val="DefaultParagraphFont"/>
    <w:semiHidden/>
    <w:rsid w:val="006649E4"/>
  </w:style>
  <w:style w:type="paragraph" w:styleId="Footer">
    <w:name w:val="footer"/>
    <w:basedOn w:val="Normal"/>
    <w:semiHidden/>
    <w:rsid w:val="006649E4"/>
    <w:pPr>
      <w:tabs>
        <w:tab w:val="clear" w:pos="0"/>
        <w:tab w:val="center" w:pos="4320"/>
        <w:tab w:val="right" w:pos="8640"/>
      </w:tabs>
    </w:pPr>
  </w:style>
  <w:style w:type="paragraph" w:styleId="BodyText">
    <w:name w:val="Body Text"/>
    <w:basedOn w:val="Normal"/>
    <w:link w:val="BodyTextChar"/>
    <w:uiPriority w:val="99"/>
    <w:semiHidden/>
    <w:unhideWhenUsed/>
    <w:rsid w:val="00020B9F"/>
    <w:pPr>
      <w:spacing w:after="120"/>
    </w:pPr>
  </w:style>
  <w:style w:type="character" w:customStyle="1" w:styleId="BodyTextChar">
    <w:name w:val="Body Text Char"/>
    <w:basedOn w:val="DefaultParagraphFont"/>
    <w:link w:val="BodyText"/>
    <w:uiPriority w:val="99"/>
    <w:semiHidden/>
    <w:rsid w:val="00020B9F"/>
    <w:rPr>
      <w:rFonts w:ascii="Times New Roman" w:hAnsi="Times New Roman"/>
      <w:sz w:val="24"/>
      <w:lang w:val="en-GB"/>
    </w:rPr>
  </w:style>
  <w:style w:type="paragraph" w:styleId="BodyTextIndent">
    <w:name w:val="Body Text Indent"/>
    <w:basedOn w:val="Normal"/>
    <w:link w:val="BodyTextIndentChar"/>
    <w:uiPriority w:val="99"/>
    <w:unhideWhenUsed/>
    <w:rsid w:val="006224C4"/>
    <w:pPr>
      <w:spacing w:after="120"/>
      <w:ind w:left="360"/>
    </w:pPr>
  </w:style>
  <w:style w:type="character" w:customStyle="1" w:styleId="BodyTextIndentChar">
    <w:name w:val="Body Text Indent Char"/>
    <w:basedOn w:val="DefaultParagraphFont"/>
    <w:link w:val="BodyTextIndent"/>
    <w:uiPriority w:val="99"/>
    <w:rsid w:val="006224C4"/>
    <w:rPr>
      <w:rFonts w:ascii="Times New Roman" w:hAnsi="Times New Roman"/>
      <w:sz w:val="24"/>
      <w:lang w:val="en-GB"/>
    </w:rPr>
  </w:style>
  <w:style w:type="paragraph" w:styleId="BalloonText">
    <w:name w:val="Balloon Text"/>
    <w:basedOn w:val="Normal"/>
    <w:link w:val="BalloonTextChar"/>
    <w:uiPriority w:val="99"/>
    <w:semiHidden/>
    <w:unhideWhenUsed/>
    <w:rsid w:val="00B60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13B"/>
    <w:rPr>
      <w:rFonts w:ascii="Lucida Grande" w:hAnsi="Lucida Grande" w:cs="Lucida Grande"/>
      <w:sz w:val="18"/>
      <w:szCs w:val="18"/>
      <w:lang w:val="en-GB"/>
    </w:rPr>
  </w:style>
  <w:style w:type="paragraph" w:styleId="ListParagraph">
    <w:name w:val="List Paragraph"/>
    <w:basedOn w:val="Normal"/>
    <w:uiPriority w:val="34"/>
    <w:qFormat/>
    <w:rsid w:val="00627B5C"/>
    <w:pPr>
      <w:ind w:left="720"/>
      <w:contextualSpacing/>
    </w:pPr>
  </w:style>
  <w:style w:type="paragraph" w:customStyle="1" w:styleId="Default">
    <w:name w:val="Default"/>
    <w:rsid w:val="00F469AB"/>
    <w:pPr>
      <w:widowControl w:val="0"/>
      <w:autoSpaceDE w:val="0"/>
      <w:autoSpaceDN w:val="0"/>
      <w:adjustRightInd w:val="0"/>
    </w:pPr>
    <w:rPr>
      <w:rFonts w:ascii="Cambria" w:eastAsia="Calibri" w:hAnsi="Cambria" w:cs="Cambria"/>
      <w:color w:val="000000"/>
      <w:sz w:val="24"/>
      <w:szCs w:val="24"/>
      <w:lang w:val="en-US" w:eastAsia="en-AU"/>
    </w:rPr>
  </w:style>
  <w:style w:type="character" w:styleId="Emphasis">
    <w:name w:val="Emphasis"/>
    <w:basedOn w:val="DefaultParagraphFont"/>
    <w:uiPriority w:val="99"/>
    <w:qFormat/>
    <w:rsid w:val="006B1807"/>
    <w:rPr>
      <w:i/>
      <w:iCs/>
    </w:rPr>
  </w:style>
  <w:style w:type="paragraph" w:customStyle="1" w:styleId="JLISFootnoteText">
    <w:name w:val="JLIS Footnote Text"/>
    <w:basedOn w:val="FootnoteText"/>
    <w:uiPriority w:val="99"/>
    <w:rsid w:val="00D47AD0"/>
    <w:pPr>
      <w:tabs>
        <w:tab w:val="clear" w:pos="0"/>
      </w:tabs>
      <w:spacing w:after="80"/>
      <w:ind w:left="284" w:hanging="284"/>
      <w:jc w:val="both"/>
    </w:pPr>
    <w:rPr>
      <w:rFonts w:ascii="Palatino" w:eastAsia="Times New Roman" w:hAnsi="Palatino" w:cs="Palatino"/>
      <w:sz w:val="18"/>
      <w:szCs w:val="18"/>
      <w:lang w:val="en-AU"/>
    </w:rPr>
  </w:style>
  <w:style w:type="character" w:customStyle="1" w:styleId="mb">
    <w:name w:val="mb"/>
    <w:basedOn w:val="DefaultParagraphFont"/>
    <w:rsid w:val="00320D11"/>
  </w:style>
  <w:style w:type="character" w:styleId="CommentReference">
    <w:name w:val="annotation reference"/>
    <w:basedOn w:val="DefaultParagraphFont"/>
    <w:uiPriority w:val="99"/>
    <w:semiHidden/>
    <w:unhideWhenUsed/>
    <w:rsid w:val="008238B9"/>
    <w:rPr>
      <w:sz w:val="16"/>
      <w:szCs w:val="16"/>
    </w:rPr>
  </w:style>
  <w:style w:type="paragraph" w:styleId="CommentText">
    <w:name w:val="annotation text"/>
    <w:basedOn w:val="Normal"/>
    <w:link w:val="CommentTextChar"/>
    <w:uiPriority w:val="99"/>
    <w:semiHidden/>
    <w:unhideWhenUsed/>
    <w:rsid w:val="008238B9"/>
    <w:rPr>
      <w:sz w:val="20"/>
    </w:rPr>
  </w:style>
  <w:style w:type="character" w:customStyle="1" w:styleId="CommentTextChar">
    <w:name w:val="Comment Text Char"/>
    <w:basedOn w:val="DefaultParagraphFont"/>
    <w:link w:val="CommentText"/>
    <w:uiPriority w:val="99"/>
    <w:semiHidden/>
    <w:rsid w:val="008238B9"/>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8238B9"/>
    <w:rPr>
      <w:b/>
      <w:bCs/>
    </w:rPr>
  </w:style>
  <w:style w:type="character" w:customStyle="1" w:styleId="CommentSubjectChar">
    <w:name w:val="Comment Subject Char"/>
    <w:basedOn w:val="CommentTextChar"/>
    <w:link w:val="CommentSubject"/>
    <w:uiPriority w:val="99"/>
    <w:semiHidden/>
    <w:rsid w:val="008238B9"/>
    <w:rPr>
      <w:rFonts w:asciiTheme="minorHAnsi" w:hAnsiTheme="minorHAnsi"/>
      <w:b/>
      <w:bCs/>
      <w:lang w:val="en-GB"/>
    </w:rPr>
  </w:style>
  <w:style w:type="character" w:styleId="LineNumber">
    <w:name w:val="line number"/>
    <w:basedOn w:val="DefaultParagraphFont"/>
    <w:uiPriority w:val="99"/>
    <w:semiHidden/>
    <w:unhideWhenUsed/>
    <w:rsid w:val="00E6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8991">
      <w:bodyDiv w:val="1"/>
      <w:marLeft w:val="0"/>
      <w:marRight w:val="0"/>
      <w:marTop w:val="0"/>
      <w:marBottom w:val="0"/>
      <w:divBdr>
        <w:top w:val="none" w:sz="0" w:space="0" w:color="auto"/>
        <w:left w:val="none" w:sz="0" w:space="0" w:color="auto"/>
        <w:bottom w:val="none" w:sz="0" w:space="0" w:color="auto"/>
        <w:right w:val="none" w:sz="0" w:space="0" w:color="auto"/>
      </w:divBdr>
    </w:div>
    <w:div w:id="515703054">
      <w:bodyDiv w:val="1"/>
      <w:marLeft w:val="0"/>
      <w:marRight w:val="0"/>
      <w:marTop w:val="0"/>
      <w:marBottom w:val="0"/>
      <w:divBdr>
        <w:top w:val="none" w:sz="0" w:space="0" w:color="auto"/>
        <w:left w:val="none" w:sz="0" w:space="0" w:color="auto"/>
        <w:bottom w:val="none" w:sz="0" w:space="0" w:color="auto"/>
        <w:right w:val="none" w:sz="0" w:space="0" w:color="auto"/>
      </w:divBdr>
    </w:div>
    <w:div w:id="640305389">
      <w:bodyDiv w:val="1"/>
      <w:marLeft w:val="0"/>
      <w:marRight w:val="0"/>
      <w:marTop w:val="0"/>
      <w:marBottom w:val="0"/>
      <w:divBdr>
        <w:top w:val="none" w:sz="0" w:space="0" w:color="auto"/>
        <w:left w:val="none" w:sz="0" w:space="0" w:color="auto"/>
        <w:bottom w:val="none" w:sz="0" w:space="0" w:color="auto"/>
        <w:right w:val="none" w:sz="0" w:space="0" w:color="auto"/>
      </w:divBdr>
    </w:div>
    <w:div w:id="702361661">
      <w:bodyDiv w:val="1"/>
      <w:marLeft w:val="0"/>
      <w:marRight w:val="0"/>
      <w:marTop w:val="0"/>
      <w:marBottom w:val="0"/>
      <w:divBdr>
        <w:top w:val="none" w:sz="0" w:space="0" w:color="auto"/>
        <w:left w:val="none" w:sz="0" w:space="0" w:color="auto"/>
        <w:bottom w:val="none" w:sz="0" w:space="0" w:color="auto"/>
        <w:right w:val="none" w:sz="0" w:space="0" w:color="auto"/>
      </w:divBdr>
    </w:div>
    <w:div w:id="836270706">
      <w:bodyDiv w:val="1"/>
      <w:marLeft w:val="0"/>
      <w:marRight w:val="0"/>
      <w:marTop w:val="0"/>
      <w:marBottom w:val="0"/>
      <w:divBdr>
        <w:top w:val="none" w:sz="0" w:space="0" w:color="auto"/>
        <w:left w:val="none" w:sz="0" w:space="0" w:color="auto"/>
        <w:bottom w:val="none" w:sz="0" w:space="0" w:color="auto"/>
        <w:right w:val="none" w:sz="0" w:space="0" w:color="auto"/>
      </w:divBdr>
    </w:div>
    <w:div w:id="907107351">
      <w:bodyDiv w:val="1"/>
      <w:marLeft w:val="0"/>
      <w:marRight w:val="0"/>
      <w:marTop w:val="0"/>
      <w:marBottom w:val="0"/>
      <w:divBdr>
        <w:top w:val="none" w:sz="0" w:space="0" w:color="auto"/>
        <w:left w:val="none" w:sz="0" w:space="0" w:color="auto"/>
        <w:bottom w:val="none" w:sz="0" w:space="0" w:color="auto"/>
        <w:right w:val="none" w:sz="0" w:space="0" w:color="auto"/>
      </w:divBdr>
    </w:div>
    <w:div w:id="979187423">
      <w:bodyDiv w:val="1"/>
      <w:marLeft w:val="0"/>
      <w:marRight w:val="0"/>
      <w:marTop w:val="0"/>
      <w:marBottom w:val="0"/>
      <w:divBdr>
        <w:top w:val="none" w:sz="0" w:space="0" w:color="auto"/>
        <w:left w:val="none" w:sz="0" w:space="0" w:color="auto"/>
        <w:bottom w:val="none" w:sz="0" w:space="0" w:color="auto"/>
        <w:right w:val="none" w:sz="0" w:space="0" w:color="auto"/>
      </w:divBdr>
    </w:div>
    <w:div w:id="1515801939">
      <w:bodyDiv w:val="1"/>
      <w:marLeft w:val="0"/>
      <w:marRight w:val="0"/>
      <w:marTop w:val="0"/>
      <w:marBottom w:val="0"/>
      <w:divBdr>
        <w:top w:val="none" w:sz="0" w:space="0" w:color="auto"/>
        <w:left w:val="none" w:sz="0" w:space="0" w:color="auto"/>
        <w:bottom w:val="none" w:sz="0" w:space="0" w:color="auto"/>
        <w:right w:val="none" w:sz="0" w:space="0" w:color="auto"/>
      </w:divBdr>
    </w:div>
    <w:div w:id="1529834749">
      <w:bodyDiv w:val="1"/>
      <w:marLeft w:val="0"/>
      <w:marRight w:val="0"/>
      <w:marTop w:val="0"/>
      <w:marBottom w:val="0"/>
      <w:divBdr>
        <w:top w:val="none" w:sz="0" w:space="0" w:color="auto"/>
        <w:left w:val="none" w:sz="0" w:space="0" w:color="auto"/>
        <w:bottom w:val="none" w:sz="0" w:space="0" w:color="auto"/>
        <w:right w:val="none" w:sz="0" w:space="0" w:color="auto"/>
      </w:divBdr>
    </w:div>
    <w:div w:id="2114008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ba.od.nih.gov/SACGHS/sacghs_documents.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4055</Words>
  <Characters>23447</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THE IMPACT OF PATENTS ON THE DELIVERY OF GENETIC TESTS IN AUSTRALIA</vt:lpstr>
    </vt:vector>
  </TitlesOfParts>
  <Company>Faculty of Law</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PATENTS ON THE DELIVERY OF GENETIC TESTS IN AUSTRALIA</dc:title>
  <dc:creator>D Nicol</dc:creator>
  <cp:lastModifiedBy>Leslie Watson</cp:lastModifiedBy>
  <cp:revision>2</cp:revision>
  <cp:lastPrinted>2013-03-08T02:13:00Z</cp:lastPrinted>
  <dcterms:created xsi:type="dcterms:W3CDTF">2018-10-26T03:50:00Z</dcterms:created>
  <dcterms:modified xsi:type="dcterms:W3CDTF">2018-10-26T03:50:00Z</dcterms:modified>
</cp:coreProperties>
</file>