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994DD" w14:textId="77777777" w:rsidR="00575EFD" w:rsidRPr="008F2447" w:rsidRDefault="00944A64">
      <w:pPr>
        <w:spacing w:line="480" w:lineRule="auto"/>
        <w:rPr>
          <w:rFonts w:asciiTheme="majorBidi" w:hAnsiTheme="majorBidi" w:cstheme="majorBidi"/>
          <w:b/>
          <w:bCs/>
        </w:rPr>
      </w:pPr>
      <w:r w:rsidRPr="008F2447">
        <w:rPr>
          <w:rFonts w:asciiTheme="majorBidi" w:hAnsiTheme="majorBidi" w:cstheme="majorBidi"/>
          <w:b/>
          <w:bCs/>
        </w:rPr>
        <w:t xml:space="preserve">Associations of </w:t>
      </w:r>
      <w:proofErr w:type="spellStart"/>
      <w:r w:rsidRPr="008F2447">
        <w:rPr>
          <w:rFonts w:asciiTheme="majorBidi" w:hAnsiTheme="majorBidi" w:cstheme="majorBidi"/>
          <w:b/>
          <w:bCs/>
        </w:rPr>
        <w:t>sarcopenic</w:t>
      </w:r>
      <w:proofErr w:type="spellEnd"/>
      <w:r w:rsidRPr="008F2447">
        <w:rPr>
          <w:rFonts w:asciiTheme="majorBidi" w:hAnsiTheme="majorBidi" w:cstheme="majorBidi"/>
          <w:b/>
          <w:bCs/>
        </w:rPr>
        <w:t xml:space="preserve"> obesity and </w:t>
      </w:r>
      <w:proofErr w:type="spellStart"/>
      <w:r w:rsidRPr="008F2447">
        <w:rPr>
          <w:rFonts w:asciiTheme="majorBidi" w:hAnsiTheme="majorBidi" w:cstheme="majorBidi"/>
          <w:b/>
          <w:bCs/>
        </w:rPr>
        <w:t>dynapenic</w:t>
      </w:r>
      <w:proofErr w:type="spellEnd"/>
      <w:r w:rsidRPr="008F2447">
        <w:rPr>
          <w:rFonts w:asciiTheme="majorBidi" w:hAnsiTheme="majorBidi" w:cstheme="majorBidi"/>
          <w:b/>
          <w:bCs/>
        </w:rPr>
        <w:t xml:space="preserve"> obesity with bone mineral density and incident fractures over five to 10 years in community-dwelling older adults</w:t>
      </w:r>
    </w:p>
    <w:p w14:paraId="47E0DE11" w14:textId="77777777" w:rsidR="00575EFD" w:rsidRPr="008F2447" w:rsidRDefault="00575EFD">
      <w:pPr>
        <w:pStyle w:val="Footer"/>
        <w:spacing w:line="480" w:lineRule="auto"/>
        <w:rPr>
          <w:rFonts w:asciiTheme="majorBidi" w:hAnsiTheme="majorBidi" w:cstheme="majorBidi"/>
        </w:rPr>
      </w:pPr>
    </w:p>
    <w:p w14:paraId="18B40EB7" w14:textId="77777777" w:rsidR="00575EFD" w:rsidRPr="008F2447" w:rsidRDefault="00944A64">
      <w:pPr>
        <w:pStyle w:val="Footer"/>
        <w:spacing w:line="480" w:lineRule="auto"/>
        <w:rPr>
          <w:rFonts w:asciiTheme="majorBidi" w:hAnsiTheme="majorBidi" w:cstheme="majorBidi"/>
        </w:rPr>
      </w:pPr>
      <w:r w:rsidRPr="008F2447">
        <w:rPr>
          <w:rFonts w:asciiTheme="majorBidi" w:hAnsiTheme="majorBidi" w:cstheme="majorBidi"/>
        </w:rPr>
        <w:t>Dr. David Scott</w:t>
      </w:r>
      <w:r w:rsidRPr="008F2447">
        <w:rPr>
          <w:rFonts w:asciiTheme="majorBidi" w:hAnsiTheme="majorBidi" w:cstheme="majorBidi"/>
          <w:vertAlign w:val="superscript"/>
        </w:rPr>
        <w:t>1</w:t>
      </w:r>
      <w:proofErr w:type="gramStart"/>
      <w:r w:rsidRPr="008F2447">
        <w:rPr>
          <w:rFonts w:asciiTheme="majorBidi" w:hAnsiTheme="majorBidi" w:cstheme="majorBidi"/>
          <w:vertAlign w:val="superscript"/>
        </w:rPr>
        <w:t>,2</w:t>
      </w:r>
      <w:proofErr w:type="gramEnd"/>
      <w:r w:rsidRPr="008F2447">
        <w:rPr>
          <w:rFonts w:asciiTheme="majorBidi" w:hAnsiTheme="majorBidi" w:cstheme="majorBidi"/>
        </w:rPr>
        <w:t>, PhD</w:t>
      </w:r>
    </w:p>
    <w:p w14:paraId="4EA54278" w14:textId="77777777" w:rsidR="00575EFD" w:rsidRPr="008F2447" w:rsidRDefault="00944A64">
      <w:pPr>
        <w:pStyle w:val="Footer"/>
        <w:spacing w:line="480" w:lineRule="auto"/>
        <w:rPr>
          <w:rFonts w:asciiTheme="majorBidi" w:hAnsiTheme="majorBidi" w:cstheme="majorBidi"/>
        </w:rPr>
      </w:pPr>
      <w:r w:rsidRPr="008F2447">
        <w:rPr>
          <w:rFonts w:asciiTheme="majorBidi" w:hAnsiTheme="majorBidi" w:cstheme="majorBidi"/>
        </w:rPr>
        <w:t xml:space="preserve">Mr. </w:t>
      </w:r>
      <w:proofErr w:type="spellStart"/>
      <w:r w:rsidRPr="008F2447">
        <w:rPr>
          <w:rFonts w:asciiTheme="majorBidi" w:hAnsiTheme="majorBidi" w:cstheme="majorBidi"/>
        </w:rPr>
        <w:t>Sahan</w:t>
      </w:r>
      <w:proofErr w:type="spellEnd"/>
      <w:r w:rsidRPr="008F2447">
        <w:rPr>
          <w:rFonts w:asciiTheme="majorBidi" w:hAnsiTheme="majorBidi" w:cstheme="majorBidi"/>
        </w:rPr>
        <w:t xml:space="preserve"> D. Chandrasekara</w:t>
      </w:r>
      <w:r w:rsidRPr="008F2447">
        <w:rPr>
          <w:rFonts w:asciiTheme="majorBidi" w:hAnsiTheme="majorBidi" w:cstheme="majorBidi"/>
          <w:vertAlign w:val="superscript"/>
        </w:rPr>
        <w:t>1</w:t>
      </w:r>
    </w:p>
    <w:p w14:paraId="34F3D414" w14:textId="77777777" w:rsidR="00575EFD" w:rsidRPr="008F2447" w:rsidRDefault="00944A64">
      <w:pPr>
        <w:pStyle w:val="Footer"/>
        <w:spacing w:line="480" w:lineRule="auto"/>
        <w:rPr>
          <w:rFonts w:asciiTheme="majorBidi" w:hAnsiTheme="majorBidi" w:cstheme="majorBidi"/>
          <w:lang w:val="it-IT"/>
        </w:rPr>
      </w:pPr>
      <w:r w:rsidRPr="008F2447">
        <w:rPr>
          <w:rFonts w:asciiTheme="majorBidi" w:hAnsiTheme="majorBidi" w:cstheme="majorBidi"/>
          <w:lang w:val="it-IT"/>
        </w:rPr>
        <w:t xml:space="preserve">Dr. Laura </w:t>
      </w:r>
      <w:r w:rsidR="00D51A8D" w:rsidRPr="008F2447">
        <w:rPr>
          <w:rFonts w:asciiTheme="majorBidi" w:hAnsiTheme="majorBidi" w:cstheme="majorBidi"/>
          <w:lang w:val="it-IT"/>
        </w:rPr>
        <w:t>L</w:t>
      </w:r>
      <w:r w:rsidR="008F2447">
        <w:rPr>
          <w:rFonts w:asciiTheme="majorBidi" w:hAnsiTheme="majorBidi" w:cstheme="majorBidi"/>
          <w:lang w:val="it-IT"/>
        </w:rPr>
        <w:t>.</w:t>
      </w:r>
      <w:r w:rsidR="00D51A8D" w:rsidRPr="008F2447">
        <w:rPr>
          <w:rFonts w:asciiTheme="majorBidi" w:hAnsiTheme="majorBidi" w:cstheme="majorBidi"/>
          <w:lang w:val="it-IT"/>
        </w:rPr>
        <w:t xml:space="preserve"> </w:t>
      </w:r>
      <w:r w:rsidRPr="008F2447">
        <w:rPr>
          <w:rFonts w:asciiTheme="majorBidi" w:hAnsiTheme="majorBidi" w:cstheme="majorBidi"/>
          <w:lang w:val="it-IT"/>
        </w:rPr>
        <w:t>Laslett</w:t>
      </w:r>
      <w:r w:rsidRPr="008F2447">
        <w:rPr>
          <w:rFonts w:asciiTheme="majorBidi" w:hAnsiTheme="majorBidi" w:cstheme="majorBidi"/>
          <w:vertAlign w:val="superscript"/>
          <w:lang w:val="it-IT"/>
        </w:rPr>
        <w:t>3</w:t>
      </w:r>
      <w:r w:rsidRPr="008F2447">
        <w:rPr>
          <w:rFonts w:asciiTheme="majorBidi" w:hAnsiTheme="majorBidi" w:cstheme="majorBidi"/>
          <w:lang w:val="it-IT"/>
        </w:rPr>
        <w:t xml:space="preserve">, </w:t>
      </w:r>
      <w:proofErr w:type="spellStart"/>
      <w:r w:rsidRPr="008F2447">
        <w:rPr>
          <w:rFonts w:asciiTheme="majorBidi" w:hAnsiTheme="majorBidi" w:cstheme="majorBidi"/>
          <w:lang w:val="it-IT"/>
        </w:rPr>
        <w:t>PhD</w:t>
      </w:r>
      <w:proofErr w:type="spellEnd"/>
    </w:p>
    <w:p w14:paraId="091BDEFB" w14:textId="77777777" w:rsidR="00575EFD" w:rsidRPr="008F2447" w:rsidRDefault="00944A64">
      <w:pPr>
        <w:pStyle w:val="Footer"/>
        <w:spacing w:line="480" w:lineRule="auto"/>
        <w:rPr>
          <w:rFonts w:asciiTheme="majorBidi" w:hAnsiTheme="majorBidi" w:cstheme="majorBidi"/>
          <w:lang w:val="it-IT"/>
        </w:rPr>
      </w:pPr>
      <w:r w:rsidRPr="008F2447">
        <w:rPr>
          <w:rFonts w:asciiTheme="majorBidi" w:hAnsiTheme="majorBidi" w:cstheme="majorBidi"/>
          <w:lang w:val="it-IT"/>
        </w:rPr>
        <w:t>Professor Flavia Cicuttini</w:t>
      </w:r>
      <w:r w:rsidRPr="008F2447">
        <w:rPr>
          <w:rFonts w:asciiTheme="majorBidi" w:hAnsiTheme="majorBidi" w:cstheme="majorBidi"/>
          <w:vertAlign w:val="superscript"/>
          <w:lang w:val="it-IT"/>
        </w:rPr>
        <w:t>4</w:t>
      </w:r>
      <w:r w:rsidRPr="008F2447">
        <w:rPr>
          <w:rFonts w:asciiTheme="majorBidi" w:hAnsiTheme="majorBidi" w:cstheme="majorBidi"/>
          <w:lang w:val="it-IT"/>
        </w:rPr>
        <w:t xml:space="preserve">, </w:t>
      </w:r>
      <w:proofErr w:type="spellStart"/>
      <w:r w:rsidR="005B7B99" w:rsidRPr="008F2447">
        <w:rPr>
          <w:rFonts w:asciiTheme="majorBidi" w:hAnsiTheme="majorBidi" w:cstheme="majorBidi"/>
          <w:lang w:val="it-IT"/>
        </w:rPr>
        <w:t>Ph</w:t>
      </w:r>
      <w:r w:rsidRPr="008F2447">
        <w:rPr>
          <w:rFonts w:asciiTheme="majorBidi" w:hAnsiTheme="majorBidi" w:cstheme="majorBidi"/>
          <w:lang w:val="it-IT"/>
        </w:rPr>
        <w:t>D</w:t>
      </w:r>
      <w:proofErr w:type="spellEnd"/>
    </w:p>
    <w:p w14:paraId="0D460340" w14:textId="77777777" w:rsidR="00575EFD" w:rsidRPr="008F2447" w:rsidRDefault="00944A64">
      <w:pPr>
        <w:pStyle w:val="Footer"/>
        <w:spacing w:line="480" w:lineRule="auto"/>
        <w:rPr>
          <w:rFonts w:asciiTheme="majorBidi" w:hAnsiTheme="majorBidi" w:cstheme="majorBidi"/>
        </w:rPr>
      </w:pPr>
      <w:r w:rsidRPr="008F2447">
        <w:rPr>
          <w:rFonts w:asciiTheme="majorBidi" w:hAnsiTheme="majorBidi" w:cstheme="majorBidi"/>
        </w:rPr>
        <w:t>Professor Peter R. Ebeling</w:t>
      </w:r>
      <w:r w:rsidRPr="008F2447">
        <w:rPr>
          <w:rFonts w:asciiTheme="majorBidi" w:hAnsiTheme="majorBidi" w:cstheme="majorBidi"/>
          <w:vertAlign w:val="superscript"/>
        </w:rPr>
        <w:t>1</w:t>
      </w:r>
      <w:proofErr w:type="gramStart"/>
      <w:r w:rsidRPr="008F2447">
        <w:rPr>
          <w:rFonts w:asciiTheme="majorBidi" w:hAnsiTheme="majorBidi" w:cstheme="majorBidi"/>
          <w:vertAlign w:val="superscript"/>
        </w:rPr>
        <w:t>,2</w:t>
      </w:r>
      <w:proofErr w:type="gramEnd"/>
      <w:r w:rsidRPr="008F2447">
        <w:rPr>
          <w:rFonts w:asciiTheme="majorBidi" w:hAnsiTheme="majorBidi" w:cstheme="majorBidi"/>
        </w:rPr>
        <w:t>, MD</w:t>
      </w:r>
    </w:p>
    <w:p w14:paraId="51F76D57" w14:textId="77777777" w:rsidR="00575EFD" w:rsidRPr="008F2447" w:rsidRDefault="00944A64">
      <w:pPr>
        <w:pStyle w:val="Footer"/>
        <w:spacing w:line="480" w:lineRule="auto"/>
        <w:rPr>
          <w:rFonts w:asciiTheme="majorBidi" w:hAnsiTheme="majorBidi" w:cstheme="majorBidi"/>
        </w:rPr>
      </w:pPr>
      <w:r w:rsidRPr="008F2447">
        <w:rPr>
          <w:rFonts w:asciiTheme="majorBidi" w:hAnsiTheme="majorBidi" w:cstheme="majorBidi"/>
        </w:rPr>
        <w:t>Professor Graeme Jones</w:t>
      </w:r>
      <w:r w:rsidRPr="008F2447">
        <w:rPr>
          <w:rFonts w:asciiTheme="majorBidi" w:hAnsiTheme="majorBidi" w:cstheme="majorBidi"/>
          <w:vertAlign w:val="superscript"/>
        </w:rPr>
        <w:t>3</w:t>
      </w:r>
      <w:r w:rsidRPr="008F2447">
        <w:rPr>
          <w:rFonts w:asciiTheme="majorBidi" w:hAnsiTheme="majorBidi" w:cstheme="majorBidi"/>
        </w:rPr>
        <w:t>, MD</w:t>
      </w:r>
    </w:p>
    <w:p w14:paraId="1C2A7A33" w14:textId="77777777" w:rsidR="00575EFD" w:rsidRPr="008F2447" w:rsidRDefault="00575EFD">
      <w:pPr>
        <w:spacing w:line="480" w:lineRule="auto"/>
        <w:rPr>
          <w:rFonts w:asciiTheme="majorBidi" w:hAnsiTheme="majorBidi" w:cstheme="majorBidi"/>
        </w:rPr>
      </w:pPr>
    </w:p>
    <w:p w14:paraId="249EB6F8" w14:textId="77777777" w:rsidR="00575EFD" w:rsidRPr="008F2447" w:rsidRDefault="00944A64">
      <w:pPr>
        <w:spacing w:line="480" w:lineRule="auto"/>
        <w:rPr>
          <w:rFonts w:asciiTheme="majorBidi" w:hAnsiTheme="majorBidi" w:cstheme="majorBidi"/>
        </w:rPr>
      </w:pPr>
      <w:r w:rsidRPr="008F2447">
        <w:rPr>
          <w:rFonts w:asciiTheme="majorBidi" w:hAnsiTheme="majorBidi" w:cstheme="majorBidi"/>
          <w:vertAlign w:val="superscript"/>
        </w:rPr>
        <w:t>1</w:t>
      </w:r>
      <w:r w:rsidRPr="008F2447">
        <w:rPr>
          <w:rFonts w:asciiTheme="majorBidi" w:hAnsiTheme="majorBidi" w:cstheme="majorBidi"/>
        </w:rPr>
        <w:t xml:space="preserve">Department of Medicine, School of Clinical Sciences at Monash Health, Faculty of Medicine, Nursing and Health Sciences, Monash University, Clayton, Victoria, Australia </w:t>
      </w:r>
    </w:p>
    <w:p w14:paraId="77DE03A9" w14:textId="77777777" w:rsidR="00575EFD" w:rsidRPr="008F2447" w:rsidRDefault="00944A64">
      <w:pPr>
        <w:spacing w:line="480" w:lineRule="auto"/>
        <w:rPr>
          <w:rFonts w:asciiTheme="majorBidi" w:hAnsiTheme="majorBidi" w:cstheme="majorBidi"/>
        </w:rPr>
      </w:pPr>
      <w:r w:rsidRPr="008F2447">
        <w:rPr>
          <w:rFonts w:asciiTheme="majorBidi" w:hAnsiTheme="majorBidi" w:cstheme="majorBidi"/>
          <w:vertAlign w:val="superscript"/>
        </w:rPr>
        <w:t>2</w:t>
      </w:r>
      <w:r w:rsidRPr="008F2447">
        <w:rPr>
          <w:rFonts w:asciiTheme="majorBidi" w:hAnsiTheme="majorBidi" w:cstheme="majorBidi"/>
        </w:rPr>
        <w:t xml:space="preserve">Melbourne Medical School (Western Campus) and Australian Institute for Musculoskeletal Science, </w:t>
      </w:r>
      <w:proofErr w:type="gramStart"/>
      <w:r w:rsidRPr="008F2447">
        <w:rPr>
          <w:rFonts w:asciiTheme="majorBidi" w:hAnsiTheme="majorBidi" w:cstheme="majorBidi"/>
        </w:rPr>
        <w:t>The</w:t>
      </w:r>
      <w:proofErr w:type="gramEnd"/>
      <w:r w:rsidRPr="008F2447">
        <w:rPr>
          <w:rFonts w:asciiTheme="majorBidi" w:hAnsiTheme="majorBidi" w:cstheme="majorBidi"/>
        </w:rPr>
        <w:t xml:space="preserve"> University of Melbourne and Western Health, St Albans, Victoria, Australia </w:t>
      </w:r>
    </w:p>
    <w:p w14:paraId="1B3F53BF" w14:textId="77777777" w:rsidR="00575EFD" w:rsidRPr="008F2447" w:rsidRDefault="00944A64">
      <w:pPr>
        <w:spacing w:line="480" w:lineRule="auto"/>
        <w:rPr>
          <w:rFonts w:asciiTheme="majorBidi" w:hAnsiTheme="majorBidi" w:cstheme="majorBidi"/>
          <w:iCs/>
        </w:rPr>
      </w:pPr>
      <w:r w:rsidRPr="008F2447">
        <w:rPr>
          <w:rFonts w:asciiTheme="majorBidi" w:hAnsiTheme="majorBidi" w:cstheme="majorBidi"/>
          <w:vertAlign w:val="superscript"/>
        </w:rPr>
        <w:t>3</w:t>
      </w:r>
      <w:r w:rsidRPr="008F2447">
        <w:rPr>
          <w:rFonts w:asciiTheme="majorBidi" w:hAnsiTheme="majorBidi" w:cstheme="majorBidi"/>
          <w:iCs/>
        </w:rPr>
        <w:t xml:space="preserve">Menzies </w:t>
      </w:r>
      <w:r w:rsidR="00D51A8D" w:rsidRPr="008F2447">
        <w:rPr>
          <w:rFonts w:asciiTheme="majorBidi" w:hAnsiTheme="majorBidi" w:cstheme="majorBidi"/>
          <w:iCs/>
        </w:rPr>
        <w:t xml:space="preserve">Institute for Medical </w:t>
      </w:r>
      <w:r w:rsidRPr="008F2447">
        <w:rPr>
          <w:rFonts w:asciiTheme="majorBidi" w:hAnsiTheme="majorBidi" w:cstheme="majorBidi"/>
          <w:iCs/>
        </w:rPr>
        <w:t>Research, University of Tasmania, Hobart, Tasmania, Australia</w:t>
      </w:r>
    </w:p>
    <w:p w14:paraId="677C88D9" w14:textId="77777777" w:rsidR="00575EFD" w:rsidRDefault="00944A64">
      <w:pPr>
        <w:spacing w:line="480" w:lineRule="auto"/>
        <w:rPr>
          <w:rFonts w:asciiTheme="majorBidi" w:hAnsiTheme="majorBidi" w:cstheme="majorBidi"/>
        </w:rPr>
      </w:pPr>
      <w:r w:rsidRPr="008F2447">
        <w:rPr>
          <w:rFonts w:asciiTheme="majorBidi" w:hAnsiTheme="majorBidi" w:cstheme="majorBidi"/>
          <w:iCs/>
          <w:vertAlign w:val="superscript"/>
        </w:rPr>
        <w:t>4</w:t>
      </w:r>
      <w:r w:rsidRPr="008F2447">
        <w:rPr>
          <w:rFonts w:asciiTheme="majorBidi" w:hAnsiTheme="majorBidi" w:cstheme="majorBidi"/>
          <w:iCs/>
        </w:rPr>
        <w:t xml:space="preserve">Musculoskeletal Unit, Department of Epidemiology and Preventative Medicine, </w:t>
      </w:r>
      <w:r w:rsidRPr="008F2447">
        <w:rPr>
          <w:rFonts w:asciiTheme="majorBidi" w:hAnsiTheme="majorBidi" w:cstheme="majorBidi"/>
        </w:rPr>
        <w:t>Faculty of Medicine, Nursing and Health Sciences, Monash University, Melbourne, Victoria, Australia</w:t>
      </w:r>
    </w:p>
    <w:p w14:paraId="2F9ACB18" w14:textId="77777777" w:rsidR="00575EFD" w:rsidRPr="008F2447" w:rsidRDefault="00575EFD">
      <w:pPr>
        <w:pStyle w:val="BodyText"/>
        <w:spacing w:before="120" w:line="240" w:lineRule="auto"/>
        <w:rPr>
          <w:rFonts w:asciiTheme="majorBidi" w:hAnsiTheme="majorBidi" w:cstheme="majorBidi"/>
          <w:b/>
          <w:bCs/>
          <w:sz w:val="24"/>
          <w:szCs w:val="24"/>
          <w:lang w:val="en-US"/>
        </w:rPr>
      </w:pPr>
    </w:p>
    <w:p w14:paraId="606E1E86" w14:textId="77777777" w:rsidR="00575EFD" w:rsidRPr="008F2447" w:rsidRDefault="00944A64">
      <w:pPr>
        <w:pStyle w:val="BodyText"/>
        <w:spacing w:before="120" w:line="240" w:lineRule="auto"/>
        <w:rPr>
          <w:rFonts w:asciiTheme="majorBidi" w:hAnsiTheme="majorBidi" w:cstheme="majorBidi"/>
          <w:b/>
          <w:bCs/>
          <w:i/>
          <w:sz w:val="24"/>
          <w:szCs w:val="24"/>
          <w:lang w:val="en-US"/>
        </w:rPr>
      </w:pPr>
      <w:r w:rsidRPr="008F2447">
        <w:rPr>
          <w:rFonts w:asciiTheme="majorBidi" w:hAnsiTheme="majorBidi" w:cstheme="majorBidi"/>
          <w:b/>
          <w:bCs/>
          <w:i/>
          <w:sz w:val="24"/>
          <w:szCs w:val="24"/>
          <w:lang w:val="en-US"/>
        </w:rPr>
        <w:t>Corresponding author and person to whom reprint requests should be addressed:</w:t>
      </w:r>
    </w:p>
    <w:p w14:paraId="7B95ED77" w14:textId="77777777" w:rsidR="00575EFD" w:rsidRPr="008F2447" w:rsidRDefault="00944A64">
      <w:pPr>
        <w:spacing w:before="120" w:after="120"/>
        <w:rPr>
          <w:rFonts w:asciiTheme="majorBidi" w:hAnsiTheme="majorBidi" w:cstheme="majorBidi"/>
        </w:rPr>
      </w:pPr>
      <w:proofErr w:type="spellStart"/>
      <w:r w:rsidRPr="008F2447">
        <w:rPr>
          <w:rFonts w:asciiTheme="majorBidi" w:hAnsiTheme="majorBidi" w:cstheme="majorBidi"/>
        </w:rPr>
        <w:t>Dr.</w:t>
      </w:r>
      <w:proofErr w:type="spellEnd"/>
      <w:r w:rsidRPr="008F2447">
        <w:rPr>
          <w:rFonts w:asciiTheme="majorBidi" w:hAnsiTheme="majorBidi" w:cstheme="majorBidi"/>
        </w:rPr>
        <w:t xml:space="preserve"> David Scott</w:t>
      </w:r>
    </w:p>
    <w:p w14:paraId="41C3F8EC" w14:textId="77777777" w:rsidR="00575EFD" w:rsidRPr="008F2447" w:rsidRDefault="00944A64">
      <w:pPr>
        <w:spacing w:before="120" w:after="120"/>
        <w:rPr>
          <w:rFonts w:asciiTheme="majorBidi" w:hAnsiTheme="majorBidi" w:cstheme="majorBidi"/>
        </w:rPr>
      </w:pPr>
      <w:r w:rsidRPr="008F2447">
        <w:rPr>
          <w:rFonts w:asciiTheme="majorBidi" w:hAnsiTheme="majorBidi" w:cstheme="majorBidi"/>
        </w:rPr>
        <w:t>School of Clinical Sciences at Monash Health, Monash University</w:t>
      </w:r>
    </w:p>
    <w:p w14:paraId="163157F8" w14:textId="77777777" w:rsidR="00575EFD" w:rsidRPr="008F2447" w:rsidRDefault="00944A64">
      <w:pPr>
        <w:spacing w:before="120" w:after="120"/>
        <w:rPr>
          <w:rFonts w:asciiTheme="majorBidi" w:hAnsiTheme="majorBidi" w:cstheme="majorBidi"/>
        </w:rPr>
      </w:pPr>
      <w:r w:rsidRPr="008F2447">
        <w:rPr>
          <w:rFonts w:asciiTheme="majorBidi" w:hAnsiTheme="majorBidi" w:cstheme="majorBidi"/>
        </w:rPr>
        <w:t>Level 5, Block E</w:t>
      </w:r>
    </w:p>
    <w:p w14:paraId="7E087D96" w14:textId="77777777" w:rsidR="00575EFD" w:rsidRPr="008F2447" w:rsidRDefault="00944A64">
      <w:pPr>
        <w:spacing w:before="120" w:after="120"/>
        <w:rPr>
          <w:rFonts w:asciiTheme="majorBidi" w:hAnsiTheme="majorBidi" w:cstheme="majorBidi"/>
        </w:rPr>
      </w:pPr>
      <w:r w:rsidRPr="008F2447">
        <w:rPr>
          <w:rFonts w:asciiTheme="majorBidi" w:hAnsiTheme="majorBidi" w:cstheme="majorBidi"/>
        </w:rPr>
        <w:t>Monash Medical Centre</w:t>
      </w:r>
    </w:p>
    <w:p w14:paraId="26C6E20C" w14:textId="77777777" w:rsidR="00575EFD" w:rsidRPr="008F2447" w:rsidRDefault="00944A64">
      <w:pPr>
        <w:spacing w:before="120" w:after="120"/>
        <w:rPr>
          <w:rFonts w:asciiTheme="majorBidi" w:hAnsiTheme="majorBidi" w:cstheme="majorBidi"/>
        </w:rPr>
      </w:pPr>
      <w:r w:rsidRPr="008F2447">
        <w:rPr>
          <w:rFonts w:asciiTheme="majorBidi" w:hAnsiTheme="majorBidi" w:cstheme="majorBidi"/>
        </w:rPr>
        <w:t xml:space="preserve">246 Clayton Road, </w:t>
      </w:r>
    </w:p>
    <w:p w14:paraId="36DAB842" w14:textId="77777777" w:rsidR="00575EFD" w:rsidRPr="008F2447" w:rsidRDefault="00944A64">
      <w:pPr>
        <w:spacing w:before="120" w:after="120"/>
        <w:rPr>
          <w:rFonts w:asciiTheme="majorBidi" w:hAnsiTheme="majorBidi" w:cstheme="majorBidi"/>
        </w:rPr>
      </w:pPr>
      <w:r w:rsidRPr="008F2447">
        <w:rPr>
          <w:rFonts w:asciiTheme="majorBidi" w:hAnsiTheme="majorBidi" w:cstheme="majorBidi"/>
        </w:rPr>
        <w:t xml:space="preserve">Clayton, Victoria, </w:t>
      </w:r>
    </w:p>
    <w:p w14:paraId="7FDB83E7" w14:textId="77777777" w:rsidR="00575EFD" w:rsidRPr="008F2447" w:rsidRDefault="00944A64">
      <w:pPr>
        <w:spacing w:before="120" w:after="120"/>
        <w:rPr>
          <w:rFonts w:asciiTheme="majorBidi" w:hAnsiTheme="majorBidi" w:cstheme="majorBidi"/>
        </w:rPr>
      </w:pPr>
      <w:r w:rsidRPr="008F2447">
        <w:rPr>
          <w:rFonts w:asciiTheme="majorBidi" w:hAnsiTheme="majorBidi" w:cstheme="majorBidi"/>
        </w:rPr>
        <w:t>Australia 3168</w:t>
      </w:r>
    </w:p>
    <w:p w14:paraId="23604382" w14:textId="77777777" w:rsidR="00A45227" w:rsidRDefault="00944A64" w:rsidP="00A45227">
      <w:pPr>
        <w:spacing w:line="480" w:lineRule="auto"/>
        <w:rPr>
          <w:rFonts w:asciiTheme="majorBidi" w:hAnsiTheme="majorBidi" w:cstheme="majorBidi"/>
          <w:b/>
          <w:bCs/>
        </w:rPr>
      </w:pPr>
      <w:r w:rsidRPr="008F2447">
        <w:rPr>
          <w:rFonts w:asciiTheme="majorBidi" w:hAnsiTheme="majorBidi" w:cstheme="majorBidi"/>
        </w:rPr>
        <w:t xml:space="preserve">Tel:  + 61 3 </w:t>
      </w:r>
      <w:r w:rsidR="00D1122E">
        <w:rPr>
          <w:rFonts w:asciiTheme="majorBidi" w:hAnsiTheme="majorBidi" w:cstheme="majorBidi"/>
        </w:rPr>
        <w:t>8572 2574</w:t>
      </w:r>
      <w:r w:rsidRPr="008F2447">
        <w:rPr>
          <w:rFonts w:asciiTheme="majorBidi" w:hAnsiTheme="majorBidi" w:cstheme="majorBidi"/>
        </w:rPr>
        <w:t xml:space="preserve"> </w:t>
      </w:r>
      <w:r w:rsidRPr="008F2447">
        <w:rPr>
          <w:rFonts w:asciiTheme="majorBidi" w:hAnsiTheme="majorBidi" w:cstheme="majorBidi"/>
        </w:rPr>
        <w:tab/>
        <w:t>Fax: + 61 3 9594 6437</w:t>
      </w:r>
      <w:r w:rsidRPr="008F2447">
        <w:rPr>
          <w:rFonts w:asciiTheme="majorBidi" w:hAnsiTheme="majorBidi" w:cstheme="majorBidi"/>
        </w:rPr>
        <w:tab/>
        <w:t>E-mail: david.scott@monash.edu</w:t>
      </w:r>
      <w:r w:rsidR="00A45227" w:rsidRPr="00A45227">
        <w:rPr>
          <w:rFonts w:asciiTheme="majorBidi" w:hAnsiTheme="majorBidi" w:cstheme="majorBidi"/>
          <w:b/>
          <w:bCs/>
        </w:rPr>
        <w:t xml:space="preserve"> </w:t>
      </w:r>
    </w:p>
    <w:p w14:paraId="3F0A9F2E" w14:textId="77777777" w:rsidR="00A45227" w:rsidRPr="008F2447" w:rsidRDefault="00A45227" w:rsidP="00A45227">
      <w:pPr>
        <w:spacing w:line="480" w:lineRule="auto"/>
        <w:rPr>
          <w:rFonts w:asciiTheme="majorBidi" w:hAnsiTheme="majorBidi" w:cstheme="majorBidi"/>
          <w:b/>
          <w:bCs/>
        </w:rPr>
      </w:pPr>
      <w:r w:rsidRPr="008F2447">
        <w:rPr>
          <w:rFonts w:asciiTheme="majorBidi" w:hAnsiTheme="majorBidi" w:cstheme="majorBidi"/>
          <w:b/>
          <w:bCs/>
        </w:rPr>
        <w:lastRenderedPageBreak/>
        <w:t>Acknowledgements</w:t>
      </w:r>
    </w:p>
    <w:p w14:paraId="15897018" w14:textId="77777777" w:rsidR="00A45227" w:rsidRPr="008F2447" w:rsidRDefault="00A45227" w:rsidP="00A45227">
      <w:pPr>
        <w:spacing w:line="480" w:lineRule="auto"/>
        <w:rPr>
          <w:rFonts w:asciiTheme="majorBidi" w:hAnsiTheme="majorBidi" w:cstheme="majorBidi"/>
          <w:lang w:val="en-AU"/>
        </w:rPr>
      </w:pPr>
      <w:r w:rsidRPr="008F2447">
        <w:rPr>
          <w:rFonts w:asciiTheme="majorBidi" w:hAnsiTheme="majorBidi" w:cstheme="majorBidi"/>
        </w:rPr>
        <w:t>This work was supported by the National Health and Medical Research Council of Australia; Arthritis Foundation of Australia; Tasmanian Community Fund; and University of Tasmania Institutional Research Grants Scheme. We gratefully acknowledge the efforts of the TASOAC participants and staff, particularly study coordinator Catrina Boon.</w:t>
      </w:r>
    </w:p>
    <w:p w14:paraId="549E0E07" w14:textId="77777777" w:rsidR="00A45227" w:rsidRPr="008F2447" w:rsidRDefault="00A45227" w:rsidP="00A45227">
      <w:pPr>
        <w:spacing w:line="480" w:lineRule="auto"/>
        <w:rPr>
          <w:rFonts w:asciiTheme="majorBidi" w:hAnsiTheme="majorBidi" w:cstheme="majorBidi"/>
        </w:rPr>
      </w:pPr>
      <w:r w:rsidRPr="008F2447">
        <w:rPr>
          <w:rFonts w:asciiTheme="majorBidi" w:hAnsiTheme="majorBidi" w:cstheme="majorBidi"/>
        </w:rPr>
        <w:t>GJ and LL acknowledge fellowships from the National Health and Medical Research Council of Australia.</w:t>
      </w:r>
    </w:p>
    <w:p w14:paraId="4E8CFD0E" w14:textId="77777777" w:rsidR="00575EFD" w:rsidRPr="008F2447" w:rsidRDefault="00944A64" w:rsidP="00D1122E">
      <w:pPr>
        <w:spacing w:line="480" w:lineRule="auto"/>
        <w:rPr>
          <w:rFonts w:asciiTheme="majorBidi" w:hAnsiTheme="majorBidi" w:cstheme="majorBidi"/>
          <w:b/>
          <w:bCs/>
        </w:rPr>
      </w:pPr>
      <w:r w:rsidRPr="008F2447">
        <w:rPr>
          <w:rFonts w:asciiTheme="majorBidi" w:hAnsiTheme="majorBidi" w:cstheme="majorBidi"/>
          <w:b/>
          <w:bCs/>
        </w:rPr>
        <w:br w:type="page"/>
      </w:r>
    </w:p>
    <w:p w14:paraId="11D4EC1D" w14:textId="77777777" w:rsidR="00575EFD" w:rsidRPr="008F2447" w:rsidRDefault="00944A64">
      <w:pPr>
        <w:spacing w:line="480" w:lineRule="auto"/>
        <w:rPr>
          <w:rFonts w:asciiTheme="majorBidi" w:hAnsiTheme="majorBidi" w:cstheme="majorBidi"/>
          <w:b/>
          <w:bCs/>
        </w:rPr>
      </w:pPr>
      <w:r w:rsidRPr="008F2447">
        <w:rPr>
          <w:rFonts w:asciiTheme="majorBidi" w:hAnsiTheme="majorBidi" w:cstheme="majorBidi"/>
          <w:b/>
          <w:bCs/>
        </w:rPr>
        <w:lastRenderedPageBreak/>
        <w:t>Abstract</w:t>
      </w:r>
    </w:p>
    <w:p w14:paraId="3072C8D6" w14:textId="77777777" w:rsidR="00575EFD" w:rsidRPr="008F2447" w:rsidRDefault="00944A64" w:rsidP="00AB68E5">
      <w:pPr>
        <w:spacing w:line="480" w:lineRule="auto"/>
        <w:rPr>
          <w:rFonts w:asciiTheme="majorBidi" w:hAnsiTheme="majorBidi" w:cstheme="majorBidi"/>
          <w:b/>
        </w:rPr>
      </w:pPr>
      <w:r w:rsidRPr="008F2447">
        <w:rPr>
          <w:rFonts w:asciiTheme="majorBidi" w:hAnsiTheme="majorBidi" w:cstheme="majorBidi"/>
          <w:b/>
        </w:rPr>
        <w:t xml:space="preserve">Purpose: </w:t>
      </w:r>
      <w:r w:rsidR="00AB68E5" w:rsidRPr="00AB68E5">
        <w:rPr>
          <w:rFonts w:asciiTheme="majorBidi" w:hAnsiTheme="majorBidi" w:cstheme="majorBidi"/>
          <w:bCs/>
        </w:rPr>
        <w:t>To determine whether l</w:t>
      </w:r>
      <w:r w:rsidRPr="008F2447">
        <w:rPr>
          <w:rFonts w:asciiTheme="majorBidi" w:hAnsiTheme="majorBidi" w:cstheme="majorBidi"/>
          <w:bCs/>
        </w:rPr>
        <w:t>ow muscle mass (</w:t>
      </w:r>
      <w:proofErr w:type="spellStart"/>
      <w:r w:rsidRPr="008F2447">
        <w:rPr>
          <w:rFonts w:asciiTheme="majorBidi" w:hAnsiTheme="majorBidi" w:cstheme="majorBidi"/>
          <w:bCs/>
        </w:rPr>
        <w:t>sarcopenia</w:t>
      </w:r>
      <w:proofErr w:type="spellEnd"/>
      <w:r w:rsidRPr="008F2447">
        <w:rPr>
          <w:rFonts w:asciiTheme="majorBidi" w:hAnsiTheme="majorBidi" w:cstheme="majorBidi"/>
          <w:bCs/>
        </w:rPr>
        <w:t xml:space="preserve">) </w:t>
      </w:r>
      <w:r w:rsidR="00AB68E5">
        <w:rPr>
          <w:rFonts w:asciiTheme="majorBidi" w:hAnsiTheme="majorBidi" w:cstheme="majorBidi"/>
          <w:bCs/>
        </w:rPr>
        <w:t>or</w:t>
      </w:r>
      <w:r w:rsidRPr="008F2447">
        <w:rPr>
          <w:rFonts w:asciiTheme="majorBidi" w:hAnsiTheme="majorBidi" w:cstheme="majorBidi"/>
          <w:bCs/>
        </w:rPr>
        <w:t xml:space="preserve"> strength (</w:t>
      </w:r>
      <w:proofErr w:type="spellStart"/>
      <w:r w:rsidRPr="008F2447">
        <w:rPr>
          <w:rFonts w:asciiTheme="majorBidi" w:hAnsiTheme="majorBidi" w:cstheme="majorBidi"/>
          <w:bCs/>
        </w:rPr>
        <w:t>dynapenia</w:t>
      </w:r>
      <w:proofErr w:type="spellEnd"/>
      <w:r w:rsidRPr="008F2447">
        <w:rPr>
          <w:rFonts w:asciiTheme="majorBidi" w:hAnsiTheme="majorBidi" w:cstheme="majorBidi"/>
          <w:bCs/>
        </w:rPr>
        <w:t>)</w:t>
      </w:r>
      <w:r w:rsidR="00AB68E5">
        <w:rPr>
          <w:rFonts w:asciiTheme="majorBidi" w:hAnsiTheme="majorBidi" w:cstheme="majorBidi"/>
          <w:bCs/>
        </w:rPr>
        <w:t>, in the presence of obesity,</w:t>
      </w:r>
      <w:r w:rsidRPr="008F2447">
        <w:rPr>
          <w:rFonts w:asciiTheme="majorBidi" w:hAnsiTheme="majorBidi" w:cstheme="majorBidi"/>
          <w:bCs/>
        </w:rPr>
        <w:t xml:space="preserve"> </w:t>
      </w:r>
      <w:r w:rsidR="00AB68E5">
        <w:rPr>
          <w:rFonts w:asciiTheme="majorBidi" w:hAnsiTheme="majorBidi" w:cstheme="majorBidi"/>
          <w:bCs/>
        </w:rPr>
        <w:t>are associated with</w:t>
      </w:r>
      <w:r w:rsidRPr="008F2447">
        <w:rPr>
          <w:rFonts w:asciiTheme="majorBidi" w:hAnsiTheme="majorBidi" w:cstheme="majorBidi"/>
          <w:bCs/>
        </w:rPr>
        <w:t xml:space="preserve"> </w:t>
      </w:r>
      <w:r w:rsidR="00AB68E5">
        <w:rPr>
          <w:rFonts w:asciiTheme="majorBidi" w:hAnsiTheme="majorBidi" w:cstheme="majorBidi"/>
          <w:bCs/>
        </w:rPr>
        <w:t xml:space="preserve">increased risk for osteoporosis </w:t>
      </w:r>
      <w:r w:rsidRPr="008F2447">
        <w:rPr>
          <w:rFonts w:asciiTheme="majorBidi" w:hAnsiTheme="majorBidi" w:cstheme="majorBidi"/>
          <w:bCs/>
        </w:rPr>
        <w:t>and</w:t>
      </w:r>
      <w:r w:rsidR="00AB68E5">
        <w:rPr>
          <w:rFonts w:asciiTheme="majorBidi" w:hAnsiTheme="majorBidi" w:cstheme="majorBidi"/>
          <w:bCs/>
        </w:rPr>
        <w:t xml:space="preserve"> non-vertebral</w:t>
      </w:r>
      <w:r w:rsidRPr="008F2447">
        <w:rPr>
          <w:rFonts w:asciiTheme="majorBidi" w:hAnsiTheme="majorBidi" w:cstheme="majorBidi"/>
          <w:bCs/>
        </w:rPr>
        <w:t xml:space="preserve"> fracture over five to 10 years</w:t>
      </w:r>
      <w:r w:rsidR="00AB68E5">
        <w:rPr>
          <w:rFonts w:asciiTheme="majorBidi" w:hAnsiTheme="majorBidi" w:cstheme="majorBidi"/>
          <w:bCs/>
        </w:rPr>
        <w:t xml:space="preserve"> in community-dwelling older adults</w:t>
      </w:r>
      <w:r w:rsidR="00506098">
        <w:rPr>
          <w:rFonts w:asciiTheme="majorBidi" w:hAnsiTheme="majorBidi" w:cstheme="majorBidi"/>
          <w:bCs/>
        </w:rPr>
        <w:t>.</w:t>
      </w:r>
      <w:r w:rsidRPr="008F2447">
        <w:rPr>
          <w:rFonts w:asciiTheme="majorBidi" w:hAnsiTheme="majorBidi" w:cstheme="majorBidi"/>
          <w:bCs/>
        </w:rPr>
        <w:t xml:space="preserve"> </w:t>
      </w:r>
    </w:p>
    <w:p w14:paraId="3E8F8B57" w14:textId="5E6386F8" w:rsidR="00575EFD" w:rsidRPr="008F2447" w:rsidRDefault="00944A64" w:rsidP="00AB68E5">
      <w:pPr>
        <w:spacing w:line="480" w:lineRule="auto"/>
        <w:rPr>
          <w:rFonts w:asciiTheme="majorBidi" w:hAnsiTheme="majorBidi" w:cstheme="majorBidi"/>
        </w:rPr>
      </w:pPr>
      <w:r w:rsidRPr="008F2447">
        <w:rPr>
          <w:rFonts w:asciiTheme="majorBidi" w:hAnsiTheme="majorBidi" w:cstheme="majorBidi"/>
          <w:b/>
        </w:rPr>
        <w:t>Methods:</w:t>
      </w:r>
      <w:r w:rsidRPr="008F2447">
        <w:rPr>
          <w:rFonts w:asciiTheme="majorBidi" w:hAnsiTheme="majorBidi" w:cstheme="majorBidi"/>
          <w:b/>
          <w:i/>
        </w:rPr>
        <w:t xml:space="preserve"> </w:t>
      </w:r>
      <w:r w:rsidRPr="008F2447">
        <w:rPr>
          <w:rFonts w:asciiTheme="majorBidi" w:hAnsiTheme="majorBidi" w:cstheme="majorBidi"/>
        </w:rPr>
        <w:t>N</w:t>
      </w:r>
      <w:r w:rsidRPr="008F2447">
        <w:rPr>
          <w:rFonts w:asciiTheme="majorBidi" w:hAnsiTheme="majorBidi" w:cstheme="majorBidi"/>
          <w:b/>
        </w:rPr>
        <w:t>=</w:t>
      </w:r>
      <w:r w:rsidRPr="008F2447">
        <w:rPr>
          <w:rFonts w:asciiTheme="majorBidi" w:hAnsiTheme="majorBidi" w:cstheme="majorBidi"/>
        </w:rPr>
        <w:t>1089 volunteers (</w:t>
      </w:r>
      <w:proofErr w:type="spellStart"/>
      <w:r w:rsidRPr="008F2447">
        <w:rPr>
          <w:rFonts w:asciiTheme="majorBidi" w:hAnsiTheme="majorBidi" w:cstheme="majorBidi"/>
        </w:rPr>
        <w:t>mean±SD</w:t>
      </w:r>
      <w:proofErr w:type="spellEnd"/>
      <w:r w:rsidRPr="008F2447">
        <w:rPr>
          <w:rFonts w:asciiTheme="majorBidi" w:hAnsiTheme="majorBidi" w:cstheme="majorBidi"/>
        </w:rPr>
        <w:t xml:space="preserve"> age 62±7 years; 51% female)</w:t>
      </w:r>
      <w:r w:rsidRPr="008F2447">
        <w:rPr>
          <w:rFonts w:asciiTheme="majorBidi" w:hAnsiTheme="majorBidi" w:cstheme="majorBidi"/>
          <w:b/>
        </w:rPr>
        <w:t xml:space="preserve"> </w:t>
      </w:r>
      <w:r w:rsidRPr="008F2447">
        <w:rPr>
          <w:rFonts w:asciiTheme="majorBidi" w:hAnsiTheme="majorBidi" w:cstheme="majorBidi"/>
        </w:rPr>
        <w:t>participated at baseline and 761 attended follow-up clinic</w:t>
      </w:r>
      <w:r w:rsidR="007974A1">
        <w:rPr>
          <w:rFonts w:asciiTheme="majorBidi" w:hAnsiTheme="majorBidi" w:cstheme="majorBidi"/>
        </w:rPr>
        <w:t>s</w:t>
      </w:r>
      <w:r w:rsidRPr="008F2447">
        <w:rPr>
          <w:rFonts w:asciiTheme="majorBidi" w:hAnsiTheme="majorBidi" w:cstheme="majorBidi"/>
        </w:rPr>
        <w:t xml:space="preserve"> (mean 5.1±0.5 years later). </w:t>
      </w:r>
      <w:r w:rsidR="00506098" w:rsidRPr="008F2447">
        <w:rPr>
          <w:rFonts w:asciiTheme="majorBidi" w:hAnsiTheme="majorBidi" w:cstheme="majorBidi"/>
        </w:rPr>
        <w:t>Total body, total hip and spine BMD</w:t>
      </w:r>
      <w:r w:rsidR="00506098">
        <w:rPr>
          <w:rFonts w:asciiTheme="majorBidi" w:hAnsiTheme="majorBidi" w:cstheme="majorBidi"/>
        </w:rPr>
        <w:t>, and appendicular lean and total fat mass</w:t>
      </w:r>
      <w:r w:rsidR="00AB68E5">
        <w:rPr>
          <w:rFonts w:asciiTheme="majorBidi" w:hAnsiTheme="majorBidi" w:cstheme="majorBidi"/>
        </w:rPr>
        <w:t>,</w:t>
      </w:r>
      <w:r w:rsidR="00506098" w:rsidRPr="008F2447">
        <w:rPr>
          <w:rFonts w:asciiTheme="majorBidi" w:hAnsiTheme="majorBidi" w:cstheme="majorBidi"/>
        </w:rPr>
        <w:t xml:space="preserve"> were assessed by DXA</w:t>
      </w:r>
      <w:r w:rsidR="00506098">
        <w:rPr>
          <w:rFonts w:asciiTheme="majorBidi" w:hAnsiTheme="majorBidi" w:cstheme="majorBidi"/>
        </w:rPr>
        <w:t>.</w:t>
      </w:r>
      <w:r w:rsidR="00506098" w:rsidRPr="008F2447">
        <w:rPr>
          <w:rFonts w:asciiTheme="majorBidi" w:hAnsiTheme="majorBidi" w:cstheme="majorBidi"/>
        </w:rPr>
        <w:t xml:space="preserve"> </w:t>
      </w:r>
      <w:proofErr w:type="spellStart"/>
      <w:r w:rsidRPr="008F2447">
        <w:rPr>
          <w:rFonts w:asciiTheme="majorBidi" w:hAnsiTheme="majorBidi" w:cstheme="majorBidi"/>
        </w:rPr>
        <w:t>Sarcopeni</w:t>
      </w:r>
      <w:r w:rsidR="00506098">
        <w:rPr>
          <w:rFonts w:asciiTheme="majorBidi" w:hAnsiTheme="majorBidi" w:cstheme="majorBidi"/>
        </w:rPr>
        <w:t>c</w:t>
      </w:r>
      <w:proofErr w:type="spellEnd"/>
      <w:r w:rsidR="00506098">
        <w:rPr>
          <w:rFonts w:asciiTheme="majorBidi" w:hAnsiTheme="majorBidi" w:cstheme="majorBidi"/>
        </w:rPr>
        <w:t xml:space="preserve"> </w:t>
      </w:r>
      <w:r w:rsidR="00AB68E5">
        <w:rPr>
          <w:rFonts w:asciiTheme="majorBidi" w:hAnsiTheme="majorBidi" w:cstheme="majorBidi"/>
        </w:rPr>
        <w:t xml:space="preserve">obesity </w:t>
      </w:r>
      <w:r w:rsidR="00506098">
        <w:rPr>
          <w:rFonts w:asciiTheme="majorBidi" w:hAnsiTheme="majorBidi" w:cstheme="majorBidi"/>
        </w:rPr>
        <w:t xml:space="preserve">and </w:t>
      </w:r>
      <w:proofErr w:type="spellStart"/>
      <w:r w:rsidR="00506098">
        <w:rPr>
          <w:rFonts w:asciiTheme="majorBidi" w:hAnsiTheme="majorBidi" w:cstheme="majorBidi"/>
        </w:rPr>
        <w:t>dynapenic</w:t>
      </w:r>
      <w:proofErr w:type="spellEnd"/>
      <w:r w:rsidR="00506098">
        <w:rPr>
          <w:rFonts w:asciiTheme="majorBidi" w:hAnsiTheme="majorBidi" w:cstheme="majorBidi"/>
        </w:rPr>
        <w:t xml:space="preserve"> obesity </w:t>
      </w:r>
      <w:r w:rsidRPr="008F2447">
        <w:rPr>
          <w:rFonts w:asciiTheme="majorBidi" w:hAnsiTheme="majorBidi" w:cstheme="majorBidi"/>
        </w:rPr>
        <w:t xml:space="preserve">were defined as lowest sex-specific </w:t>
      </w:r>
      <w:proofErr w:type="spellStart"/>
      <w:r w:rsidRPr="008F2447">
        <w:rPr>
          <w:rFonts w:asciiTheme="majorBidi" w:hAnsiTheme="majorBidi" w:cstheme="majorBidi"/>
        </w:rPr>
        <w:t>tertiles</w:t>
      </w:r>
      <w:proofErr w:type="spellEnd"/>
      <w:r w:rsidRPr="008F2447">
        <w:rPr>
          <w:rFonts w:asciiTheme="majorBidi" w:hAnsiTheme="majorBidi" w:cstheme="majorBidi"/>
        </w:rPr>
        <w:t xml:space="preserve"> for</w:t>
      </w:r>
      <w:r w:rsidR="00506098">
        <w:rPr>
          <w:rFonts w:asciiTheme="majorBidi" w:hAnsiTheme="majorBidi" w:cstheme="majorBidi"/>
        </w:rPr>
        <w:t xml:space="preserve"> </w:t>
      </w:r>
      <w:r w:rsidRPr="008F2447">
        <w:rPr>
          <w:rFonts w:asciiTheme="majorBidi" w:hAnsiTheme="majorBidi" w:cstheme="majorBidi"/>
        </w:rPr>
        <w:t>appendicular lean mass</w:t>
      </w:r>
      <w:r w:rsidR="00506098">
        <w:rPr>
          <w:rFonts w:asciiTheme="majorBidi" w:hAnsiTheme="majorBidi" w:cstheme="majorBidi"/>
        </w:rPr>
        <w:t xml:space="preserve"> or</w:t>
      </w:r>
      <w:r w:rsidRPr="008F2447">
        <w:rPr>
          <w:rFonts w:asciiTheme="majorBidi" w:hAnsiTheme="majorBidi" w:cstheme="majorBidi"/>
        </w:rPr>
        <w:t xml:space="preserve"> lower-limb strength,</w:t>
      </w:r>
      <w:r w:rsidR="00AB68E5">
        <w:rPr>
          <w:rFonts w:asciiTheme="majorBidi" w:hAnsiTheme="majorBidi" w:cstheme="majorBidi"/>
        </w:rPr>
        <w:t xml:space="preserve"> respectively,</w:t>
      </w:r>
      <w:r w:rsidRPr="008F2447">
        <w:rPr>
          <w:rFonts w:asciiTheme="majorBidi" w:hAnsiTheme="majorBidi" w:cstheme="majorBidi"/>
        </w:rPr>
        <w:t xml:space="preserve"> </w:t>
      </w:r>
      <w:r w:rsidR="00506098">
        <w:rPr>
          <w:rFonts w:asciiTheme="majorBidi" w:hAnsiTheme="majorBidi" w:cstheme="majorBidi"/>
        </w:rPr>
        <w:t xml:space="preserve">and the </w:t>
      </w:r>
      <w:r w:rsidRPr="008F2447">
        <w:rPr>
          <w:rFonts w:asciiTheme="majorBidi" w:hAnsiTheme="majorBidi" w:cstheme="majorBidi"/>
        </w:rPr>
        <w:t>highest</w:t>
      </w:r>
      <w:r w:rsidR="007974A1" w:rsidRPr="007974A1">
        <w:rPr>
          <w:rFonts w:asciiTheme="majorBidi" w:hAnsiTheme="majorBidi" w:cstheme="majorBidi"/>
        </w:rPr>
        <w:t xml:space="preserve"> </w:t>
      </w:r>
      <w:r w:rsidR="007974A1" w:rsidRPr="008F2447">
        <w:rPr>
          <w:rFonts w:asciiTheme="majorBidi" w:hAnsiTheme="majorBidi" w:cstheme="majorBidi"/>
        </w:rPr>
        <w:t xml:space="preserve">sex-specific </w:t>
      </w:r>
      <w:proofErr w:type="spellStart"/>
      <w:r w:rsidR="007974A1" w:rsidRPr="008F2447">
        <w:rPr>
          <w:rFonts w:asciiTheme="majorBidi" w:hAnsiTheme="majorBidi" w:cstheme="majorBidi"/>
        </w:rPr>
        <w:t>tertile</w:t>
      </w:r>
      <w:proofErr w:type="spellEnd"/>
      <w:r w:rsidR="007974A1">
        <w:rPr>
          <w:rFonts w:asciiTheme="majorBidi" w:hAnsiTheme="majorBidi" w:cstheme="majorBidi"/>
        </w:rPr>
        <w:t xml:space="preserve"> </w:t>
      </w:r>
      <w:r w:rsidR="00506098">
        <w:rPr>
          <w:rFonts w:asciiTheme="majorBidi" w:hAnsiTheme="majorBidi" w:cstheme="majorBidi"/>
        </w:rPr>
        <w:t>for</w:t>
      </w:r>
      <w:r w:rsidR="00506098" w:rsidRPr="008F2447">
        <w:rPr>
          <w:rFonts w:asciiTheme="majorBidi" w:hAnsiTheme="majorBidi" w:cstheme="majorBidi"/>
        </w:rPr>
        <w:t xml:space="preserve"> </w:t>
      </w:r>
      <w:r w:rsidRPr="008F2447">
        <w:rPr>
          <w:rFonts w:asciiTheme="majorBidi" w:hAnsiTheme="majorBidi" w:cstheme="majorBidi"/>
        </w:rPr>
        <w:t xml:space="preserve">total fat mass. </w:t>
      </w:r>
      <w:r w:rsidR="00AB68E5">
        <w:rPr>
          <w:rFonts w:asciiTheme="majorBidi" w:hAnsiTheme="majorBidi" w:cstheme="majorBidi"/>
        </w:rPr>
        <w:t>F</w:t>
      </w:r>
      <w:r w:rsidRPr="008F2447">
        <w:rPr>
          <w:rFonts w:asciiTheme="majorBidi" w:hAnsiTheme="majorBidi" w:cstheme="majorBidi"/>
        </w:rPr>
        <w:t>ractures were self-reported on three occasions over 10.7±0.7 years in 56</w:t>
      </w:r>
      <w:r w:rsidR="00530174">
        <w:rPr>
          <w:rFonts w:asciiTheme="majorBidi" w:hAnsiTheme="majorBidi" w:cstheme="majorBidi"/>
        </w:rPr>
        <w:t>3</w:t>
      </w:r>
      <w:r w:rsidRPr="008F2447">
        <w:rPr>
          <w:rFonts w:asciiTheme="majorBidi" w:hAnsiTheme="majorBidi" w:cstheme="majorBidi"/>
        </w:rPr>
        <w:t xml:space="preserve"> participants.</w:t>
      </w:r>
    </w:p>
    <w:p w14:paraId="23E15B07" w14:textId="580CD829" w:rsidR="00575EFD" w:rsidRPr="008F2447" w:rsidRDefault="00944A64" w:rsidP="00EF4D11">
      <w:pPr>
        <w:spacing w:line="480" w:lineRule="auto"/>
        <w:rPr>
          <w:rFonts w:asciiTheme="majorBidi" w:hAnsiTheme="majorBidi" w:cstheme="majorBidi"/>
        </w:rPr>
      </w:pPr>
      <w:r w:rsidRPr="008F2447">
        <w:rPr>
          <w:rFonts w:asciiTheme="majorBidi" w:hAnsiTheme="majorBidi" w:cstheme="majorBidi"/>
          <w:b/>
        </w:rPr>
        <w:t>Results</w:t>
      </w:r>
      <w:r w:rsidR="00530174" w:rsidRPr="00057F95">
        <w:rPr>
          <w:rFonts w:asciiTheme="majorBidi" w:hAnsiTheme="majorBidi" w:cstheme="majorBidi"/>
          <w:bCs/>
        </w:rPr>
        <w:t>:</w:t>
      </w:r>
      <w:r w:rsidR="00530174">
        <w:rPr>
          <w:rFonts w:asciiTheme="majorBidi" w:hAnsiTheme="majorBidi" w:cstheme="majorBidi"/>
        </w:rPr>
        <w:t xml:space="preserve"> Obese alone participants had significantly higher BMD at all sites compared </w:t>
      </w:r>
      <w:r w:rsidR="00057F95">
        <w:rPr>
          <w:rFonts w:asciiTheme="majorBidi" w:hAnsiTheme="majorBidi" w:cstheme="majorBidi"/>
        </w:rPr>
        <w:t>with</w:t>
      </w:r>
      <w:r w:rsidR="00530174">
        <w:rPr>
          <w:rFonts w:asciiTheme="majorBidi" w:hAnsiTheme="majorBidi" w:cstheme="majorBidi"/>
        </w:rPr>
        <w:t xml:space="preserve"> non-</w:t>
      </w:r>
      <w:proofErr w:type="spellStart"/>
      <w:r w:rsidR="00530174">
        <w:rPr>
          <w:rFonts w:asciiTheme="majorBidi" w:hAnsiTheme="majorBidi" w:cstheme="majorBidi"/>
        </w:rPr>
        <w:t>sarcopenic</w:t>
      </w:r>
      <w:proofErr w:type="spellEnd"/>
      <w:r w:rsidR="00530174">
        <w:rPr>
          <w:rFonts w:asciiTheme="majorBidi" w:hAnsiTheme="majorBidi" w:cstheme="majorBidi"/>
        </w:rPr>
        <w:t xml:space="preserve"> non-obese</w:t>
      </w:r>
      <w:r w:rsidR="00057F95">
        <w:rPr>
          <w:rFonts w:asciiTheme="majorBidi" w:hAnsiTheme="majorBidi" w:cstheme="majorBidi"/>
        </w:rPr>
        <w:t>.</w:t>
      </w:r>
      <w:r w:rsidR="00530174">
        <w:rPr>
          <w:rFonts w:asciiTheme="majorBidi" w:hAnsiTheme="majorBidi" w:cstheme="majorBidi"/>
        </w:rPr>
        <w:t xml:space="preserve"> </w:t>
      </w:r>
      <w:proofErr w:type="spellStart"/>
      <w:r w:rsidR="00057F95">
        <w:rPr>
          <w:rFonts w:asciiTheme="majorBidi" w:hAnsiTheme="majorBidi" w:cstheme="majorBidi"/>
        </w:rPr>
        <w:t>S</w:t>
      </w:r>
      <w:r w:rsidRPr="008F2447">
        <w:rPr>
          <w:rFonts w:asciiTheme="majorBidi" w:hAnsiTheme="majorBidi" w:cstheme="majorBidi"/>
        </w:rPr>
        <w:t>arcopenic</w:t>
      </w:r>
      <w:proofErr w:type="spellEnd"/>
      <w:r w:rsidRPr="008F2447">
        <w:rPr>
          <w:rFonts w:asciiTheme="majorBidi" w:hAnsiTheme="majorBidi" w:cstheme="majorBidi"/>
        </w:rPr>
        <w:t xml:space="preserve"> obese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men had lower spine and total body BMD, respectively, and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women had lower total hip BMD,</w:t>
      </w:r>
      <w:r w:rsidR="00EF4D11">
        <w:rPr>
          <w:rFonts w:asciiTheme="majorBidi" w:hAnsiTheme="majorBidi" w:cstheme="majorBidi"/>
        </w:rPr>
        <w:t xml:space="preserve"> </w:t>
      </w:r>
      <w:r w:rsidRPr="008F2447">
        <w:rPr>
          <w:rFonts w:asciiTheme="majorBidi" w:hAnsiTheme="majorBidi" w:cstheme="majorBidi"/>
        </w:rPr>
        <w:t xml:space="preserve">compared with obese alone (all P&lt;0.05).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r w:rsidR="00EF4D11">
        <w:rPr>
          <w:rFonts w:asciiTheme="majorBidi" w:hAnsiTheme="majorBidi" w:cstheme="majorBidi"/>
        </w:rPr>
        <w:t>men</w:t>
      </w:r>
      <w:r w:rsidR="00EF4D11" w:rsidRPr="008F2447">
        <w:rPr>
          <w:rFonts w:asciiTheme="majorBidi" w:hAnsiTheme="majorBidi" w:cstheme="majorBidi"/>
        </w:rPr>
        <w:t xml:space="preserve"> </w:t>
      </w:r>
      <w:r w:rsidRPr="008F2447">
        <w:rPr>
          <w:rFonts w:asciiTheme="majorBidi" w:hAnsiTheme="majorBidi" w:cstheme="majorBidi"/>
        </w:rPr>
        <w:t xml:space="preserve">had higher </w:t>
      </w:r>
      <w:r w:rsidR="00EF4D11">
        <w:rPr>
          <w:rFonts w:asciiTheme="majorBidi" w:hAnsiTheme="majorBidi" w:cstheme="majorBidi"/>
        </w:rPr>
        <w:t>non-vertebral fracture</w:t>
      </w:r>
      <w:r w:rsidR="00057F95">
        <w:rPr>
          <w:rFonts w:asciiTheme="majorBidi" w:hAnsiTheme="majorBidi" w:cstheme="majorBidi"/>
        </w:rPr>
        <w:t xml:space="preserve"> rates</w:t>
      </w:r>
      <w:r w:rsidR="00EF4D11">
        <w:rPr>
          <w:rFonts w:asciiTheme="majorBidi" w:hAnsiTheme="majorBidi" w:cstheme="majorBidi"/>
        </w:rPr>
        <w:t xml:space="preserve"> compared to non-</w:t>
      </w:r>
      <w:proofErr w:type="spellStart"/>
      <w:r w:rsidR="00EF4D11">
        <w:rPr>
          <w:rFonts w:asciiTheme="majorBidi" w:hAnsiTheme="majorBidi" w:cstheme="majorBidi"/>
        </w:rPr>
        <w:t>sarcopenic</w:t>
      </w:r>
      <w:proofErr w:type="spellEnd"/>
      <w:r w:rsidR="00EF4D11">
        <w:rPr>
          <w:rFonts w:asciiTheme="majorBidi" w:hAnsiTheme="majorBidi" w:cstheme="majorBidi"/>
        </w:rPr>
        <w:t xml:space="preserve"> non-obese (incidence rate ratio: 3.0</w:t>
      </w:r>
      <w:r w:rsidR="00EF4D11" w:rsidRPr="008F2447">
        <w:rPr>
          <w:rFonts w:asciiTheme="majorBidi" w:hAnsiTheme="majorBidi" w:cstheme="majorBidi"/>
        </w:rPr>
        <w:t xml:space="preserve">; </w:t>
      </w:r>
      <w:r w:rsidR="00EF4D11">
        <w:rPr>
          <w:rFonts w:asciiTheme="majorBidi" w:hAnsiTheme="majorBidi" w:cstheme="majorBidi"/>
        </w:rPr>
        <w:t>95% CI 1.7</w:t>
      </w:r>
      <w:r w:rsidR="00057F95">
        <w:rPr>
          <w:rFonts w:asciiTheme="majorBidi" w:hAnsiTheme="majorBidi" w:cstheme="majorBidi"/>
        </w:rPr>
        <w:t>-</w:t>
      </w:r>
      <w:r w:rsidR="00EF4D11">
        <w:rPr>
          <w:rFonts w:asciiTheme="majorBidi" w:hAnsiTheme="majorBidi" w:cstheme="majorBidi"/>
        </w:rPr>
        <w:t>5.5</w:t>
      </w:r>
      <w:r w:rsidR="00EF4D11" w:rsidRPr="008F2447">
        <w:rPr>
          <w:rFonts w:asciiTheme="majorBidi" w:hAnsiTheme="majorBidi" w:cstheme="majorBidi"/>
        </w:rPr>
        <w:t xml:space="preserve">), </w:t>
      </w:r>
      <w:r w:rsidR="00EF4D11">
        <w:rPr>
          <w:rFonts w:asciiTheme="majorBidi" w:hAnsiTheme="majorBidi" w:cstheme="majorBidi"/>
        </w:rPr>
        <w:t>and obese alone</w:t>
      </w:r>
      <w:r w:rsidRPr="008F2447">
        <w:rPr>
          <w:rFonts w:asciiTheme="majorBidi" w:hAnsiTheme="majorBidi" w:cstheme="majorBidi"/>
        </w:rPr>
        <w:t xml:space="preserve"> </w:t>
      </w:r>
      <w:r w:rsidR="00EF4D11">
        <w:rPr>
          <w:rFonts w:asciiTheme="majorBidi" w:hAnsiTheme="majorBidi" w:cstheme="majorBidi"/>
        </w:rPr>
        <w:t>(3.6; 1.7</w:t>
      </w:r>
      <w:r w:rsidR="00057F95">
        <w:rPr>
          <w:rFonts w:asciiTheme="majorBidi" w:hAnsiTheme="majorBidi" w:cstheme="majorBidi"/>
        </w:rPr>
        <w:t>-</w:t>
      </w:r>
      <w:r w:rsidR="00EF4D11">
        <w:rPr>
          <w:rFonts w:asciiTheme="majorBidi" w:hAnsiTheme="majorBidi" w:cstheme="majorBidi"/>
        </w:rPr>
        <w:t>7.4</w:t>
      </w:r>
      <w:r w:rsidR="00EF4D11" w:rsidRPr="008F2447">
        <w:rPr>
          <w:rFonts w:asciiTheme="majorBidi" w:hAnsiTheme="majorBidi" w:cstheme="majorBidi"/>
        </w:rPr>
        <w:t>)</w:t>
      </w:r>
      <w:r w:rsidR="00EF4D11">
        <w:rPr>
          <w:rFonts w:asciiTheme="majorBidi" w:hAnsiTheme="majorBidi" w:cstheme="majorBidi"/>
        </w:rPr>
        <w:t>.</w:t>
      </w:r>
      <w:r w:rsidR="00EF4D11" w:rsidRPr="008F2447" w:rsidDel="00EF4D11">
        <w:rPr>
          <w:rFonts w:asciiTheme="majorBidi" w:hAnsiTheme="majorBidi" w:cstheme="majorBidi"/>
        </w:rPr>
        <w:t xml:space="preserve"> </w:t>
      </w:r>
      <w:proofErr w:type="spellStart"/>
      <w:r w:rsidR="00EF4D11">
        <w:rPr>
          <w:rFonts w:asciiTheme="majorBidi" w:hAnsiTheme="majorBidi" w:cstheme="majorBidi"/>
        </w:rPr>
        <w:t>Sarcopenic</w:t>
      </w:r>
      <w:proofErr w:type="spellEnd"/>
      <w:r w:rsidR="00EF4D11">
        <w:rPr>
          <w:rFonts w:asciiTheme="majorBidi" w:hAnsiTheme="majorBidi" w:cstheme="majorBidi"/>
        </w:rPr>
        <w:t xml:space="preserve"> obese women </w:t>
      </w:r>
      <w:r w:rsidRPr="008F2447">
        <w:rPr>
          <w:rFonts w:asciiTheme="majorBidi" w:hAnsiTheme="majorBidi" w:cstheme="majorBidi"/>
        </w:rPr>
        <w:t xml:space="preserve">had </w:t>
      </w:r>
      <w:r w:rsidR="00EF4D11">
        <w:rPr>
          <w:rFonts w:asciiTheme="majorBidi" w:hAnsiTheme="majorBidi" w:cstheme="majorBidi"/>
        </w:rPr>
        <w:t>higher</w:t>
      </w:r>
      <w:r w:rsidRPr="008F2447">
        <w:rPr>
          <w:rFonts w:asciiTheme="majorBidi" w:hAnsiTheme="majorBidi" w:cstheme="majorBidi"/>
        </w:rPr>
        <w:t xml:space="preserve"> fracture rates</w:t>
      </w:r>
      <w:r w:rsidR="00EF4D11">
        <w:rPr>
          <w:rFonts w:asciiTheme="majorBidi" w:hAnsiTheme="majorBidi" w:cstheme="majorBidi"/>
        </w:rPr>
        <w:t xml:space="preserve"> compared with obese alone</w:t>
      </w:r>
      <w:r w:rsidRPr="008F2447">
        <w:rPr>
          <w:rFonts w:asciiTheme="majorBidi" w:hAnsiTheme="majorBidi" w:cstheme="majorBidi"/>
        </w:rPr>
        <w:t xml:space="preserve"> (</w:t>
      </w:r>
      <w:r w:rsidR="00EF4D11">
        <w:rPr>
          <w:rFonts w:asciiTheme="majorBidi" w:hAnsiTheme="majorBidi" w:cstheme="majorBidi"/>
        </w:rPr>
        <w:t>2</w:t>
      </w:r>
      <w:r w:rsidRPr="008F2447">
        <w:rPr>
          <w:rFonts w:asciiTheme="majorBidi" w:hAnsiTheme="majorBidi" w:cstheme="majorBidi"/>
        </w:rPr>
        <w:t>.</w:t>
      </w:r>
      <w:r w:rsidR="00EF4D11">
        <w:rPr>
          <w:rFonts w:asciiTheme="majorBidi" w:hAnsiTheme="majorBidi" w:cstheme="majorBidi"/>
        </w:rPr>
        <w:t>8</w:t>
      </w:r>
      <w:r w:rsidRPr="008F2447">
        <w:rPr>
          <w:rFonts w:asciiTheme="majorBidi" w:hAnsiTheme="majorBidi" w:cstheme="majorBidi"/>
        </w:rPr>
        <w:t xml:space="preserve">; </w:t>
      </w:r>
      <w:r w:rsidR="00EF4D11">
        <w:rPr>
          <w:rFonts w:asciiTheme="majorBidi" w:hAnsiTheme="majorBidi" w:cstheme="majorBidi"/>
        </w:rPr>
        <w:t>1</w:t>
      </w:r>
      <w:r w:rsidRPr="008F2447">
        <w:rPr>
          <w:rFonts w:asciiTheme="majorBidi" w:hAnsiTheme="majorBidi" w:cstheme="majorBidi"/>
        </w:rPr>
        <w:t>.4</w:t>
      </w:r>
      <w:r w:rsidR="00057F95">
        <w:rPr>
          <w:rFonts w:asciiTheme="majorBidi" w:hAnsiTheme="majorBidi" w:cstheme="majorBidi"/>
        </w:rPr>
        <w:t>-</w:t>
      </w:r>
      <w:r w:rsidR="00EF4D11">
        <w:rPr>
          <w:rFonts w:asciiTheme="majorBidi" w:hAnsiTheme="majorBidi" w:cstheme="majorBidi"/>
        </w:rPr>
        <w:t>5</w:t>
      </w:r>
      <w:r w:rsidRPr="008F2447">
        <w:rPr>
          <w:rFonts w:asciiTheme="majorBidi" w:hAnsiTheme="majorBidi" w:cstheme="majorBidi"/>
        </w:rPr>
        <w:t>.</w:t>
      </w:r>
      <w:r w:rsidR="00EF4D11">
        <w:rPr>
          <w:rFonts w:asciiTheme="majorBidi" w:hAnsiTheme="majorBidi" w:cstheme="majorBidi"/>
        </w:rPr>
        <w:t>6</w:t>
      </w:r>
      <w:r w:rsidRPr="008F2447">
        <w:rPr>
          <w:rFonts w:asciiTheme="majorBidi" w:hAnsiTheme="majorBidi" w:cstheme="majorBidi"/>
        </w:rPr>
        <w:t xml:space="preserve">), </w:t>
      </w:r>
      <w:r w:rsidR="00EF4D11">
        <w:rPr>
          <w:rFonts w:asciiTheme="majorBidi" w:hAnsiTheme="majorBidi" w:cstheme="majorBidi"/>
        </w:rPr>
        <w:t>but this was non-significant after adjustment for total hip BMD.</w:t>
      </w:r>
    </w:p>
    <w:p w14:paraId="176DEDE4" w14:textId="77777777" w:rsidR="00575EFD" w:rsidRPr="008F2447" w:rsidRDefault="00944A64" w:rsidP="00AB68E5">
      <w:pPr>
        <w:spacing w:line="480" w:lineRule="auto"/>
        <w:rPr>
          <w:rFonts w:asciiTheme="majorBidi" w:hAnsiTheme="majorBidi" w:cstheme="majorBidi"/>
        </w:rPr>
      </w:pPr>
      <w:r w:rsidRPr="008F2447">
        <w:rPr>
          <w:rFonts w:asciiTheme="majorBidi" w:hAnsiTheme="majorBidi" w:cstheme="majorBidi"/>
          <w:b/>
        </w:rPr>
        <w:t xml:space="preserve">Conclusions: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older adults may have increased risk of osteoporosis and non-vertebral fracture relative to obese alone </w:t>
      </w:r>
      <w:r w:rsidR="00AB68E5">
        <w:rPr>
          <w:rFonts w:asciiTheme="majorBidi" w:hAnsiTheme="majorBidi" w:cstheme="majorBidi"/>
          <w:color w:val="000000"/>
          <w:lang w:val="en-AU"/>
        </w:rPr>
        <w:t>counterparts</w:t>
      </w:r>
      <w:r w:rsidRPr="008F2447">
        <w:rPr>
          <w:rFonts w:asciiTheme="majorBidi" w:hAnsiTheme="majorBidi" w:cstheme="majorBidi"/>
          <w:color w:val="000000"/>
          <w:lang w:val="en-AU"/>
        </w:rPr>
        <w:t xml:space="preserve">.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individuals potentially represent a subset of the obese older adult population who require closer monitoring of bone health during ageing.</w:t>
      </w:r>
    </w:p>
    <w:p w14:paraId="6F4C0F34" w14:textId="77777777" w:rsidR="00CF6872" w:rsidRDefault="00CF6872">
      <w:pPr>
        <w:spacing w:line="480" w:lineRule="auto"/>
        <w:rPr>
          <w:rFonts w:asciiTheme="majorBidi" w:hAnsiTheme="majorBidi" w:cstheme="majorBidi"/>
          <w:b/>
          <w:bCs/>
        </w:rPr>
      </w:pPr>
    </w:p>
    <w:p w14:paraId="53F033C0" w14:textId="77777777" w:rsidR="00CF6872" w:rsidRDefault="00CF6872">
      <w:pPr>
        <w:spacing w:line="480" w:lineRule="auto"/>
        <w:rPr>
          <w:rFonts w:asciiTheme="majorBidi" w:hAnsiTheme="majorBidi" w:cstheme="majorBidi"/>
        </w:rPr>
      </w:pPr>
      <w:r>
        <w:rPr>
          <w:rFonts w:asciiTheme="majorBidi" w:hAnsiTheme="majorBidi" w:cstheme="majorBidi"/>
          <w:b/>
          <w:bCs/>
        </w:rPr>
        <w:t xml:space="preserve">Keywords: </w:t>
      </w:r>
      <w:proofErr w:type="spellStart"/>
      <w:r>
        <w:rPr>
          <w:rFonts w:asciiTheme="majorBidi" w:hAnsiTheme="majorBidi" w:cstheme="majorBidi"/>
        </w:rPr>
        <w:t>sarcopenia</w:t>
      </w:r>
      <w:proofErr w:type="spellEnd"/>
      <w:r>
        <w:rPr>
          <w:rFonts w:asciiTheme="majorBidi" w:hAnsiTheme="majorBidi" w:cstheme="majorBidi"/>
        </w:rPr>
        <w:t xml:space="preserve">, </w:t>
      </w:r>
      <w:proofErr w:type="spellStart"/>
      <w:r>
        <w:rPr>
          <w:rFonts w:asciiTheme="majorBidi" w:hAnsiTheme="majorBidi" w:cstheme="majorBidi"/>
        </w:rPr>
        <w:t>dynapenia</w:t>
      </w:r>
      <w:proofErr w:type="spellEnd"/>
      <w:r>
        <w:rPr>
          <w:rFonts w:asciiTheme="majorBidi" w:hAnsiTheme="majorBidi" w:cstheme="majorBidi"/>
        </w:rPr>
        <w:t>, obesity, osteoporosis, fracture</w:t>
      </w:r>
    </w:p>
    <w:p w14:paraId="40FE4250" w14:textId="77777777" w:rsidR="00CF6872" w:rsidRDefault="00CF6872">
      <w:pPr>
        <w:rPr>
          <w:rFonts w:asciiTheme="majorBidi" w:hAnsiTheme="majorBidi" w:cstheme="majorBidi"/>
        </w:rPr>
      </w:pPr>
      <w:r>
        <w:rPr>
          <w:rFonts w:asciiTheme="majorBidi" w:hAnsiTheme="majorBidi" w:cstheme="majorBidi"/>
        </w:rPr>
        <w:br w:type="page"/>
      </w:r>
    </w:p>
    <w:p w14:paraId="7542D0AC" w14:textId="77777777" w:rsidR="00A45227" w:rsidRDefault="00A45227" w:rsidP="00A45227">
      <w:pPr>
        <w:spacing w:line="480" w:lineRule="auto"/>
        <w:rPr>
          <w:rFonts w:asciiTheme="majorBidi" w:hAnsiTheme="majorBidi" w:cstheme="majorBidi"/>
          <w:b/>
          <w:bCs/>
        </w:rPr>
      </w:pPr>
      <w:r w:rsidRPr="00A45227">
        <w:rPr>
          <w:rFonts w:asciiTheme="majorBidi" w:hAnsiTheme="majorBidi" w:cstheme="majorBidi"/>
          <w:b/>
          <w:bCs/>
        </w:rPr>
        <w:lastRenderedPageBreak/>
        <w:t>Mini Abstract</w:t>
      </w:r>
    </w:p>
    <w:p w14:paraId="1F4C5FFB" w14:textId="787CDD8E" w:rsidR="00A45227" w:rsidRPr="00A45227" w:rsidRDefault="00A45227" w:rsidP="00530174">
      <w:pPr>
        <w:spacing w:line="480" w:lineRule="auto"/>
        <w:rPr>
          <w:rFonts w:asciiTheme="majorBidi" w:hAnsiTheme="majorBidi" w:cstheme="majorBidi"/>
          <w:b/>
          <w:bCs/>
        </w:rPr>
      </w:pPr>
      <w:r>
        <w:rPr>
          <w:rFonts w:asciiTheme="majorBidi" w:hAnsiTheme="majorBidi" w:cstheme="majorBidi"/>
        </w:rPr>
        <w:t>Low muscle mass (</w:t>
      </w:r>
      <w:proofErr w:type="spellStart"/>
      <w:r>
        <w:rPr>
          <w:rFonts w:asciiTheme="majorBidi" w:hAnsiTheme="majorBidi" w:cstheme="majorBidi"/>
        </w:rPr>
        <w:t>sarcopenia</w:t>
      </w:r>
      <w:proofErr w:type="spellEnd"/>
      <w:r>
        <w:rPr>
          <w:rFonts w:asciiTheme="majorBidi" w:hAnsiTheme="majorBidi" w:cstheme="majorBidi"/>
        </w:rPr>
        <w:t>) and strength (</w:t>
      </w:r>
      <w:proofErr w:type="spellStart"/>
      <w:r>
        <w:rPr>
          <w:rFonts w:asciiTheme="majorBidi" w:hAnsiTheme="majorBidi" w:cstheme="majorBidi"/>
        </w:rPr>
        <w:t>dynapenia</w:t>
      </w:r>
      <w:proofErr w:type="spellEnd"/>
      <w:r>
        <w:rPr>
          <w:rFonts w:asciiTheme="majorBidi" w:hAnsiTheme="majorBidi" w:cstheme="majorBidi"/>
        </w:rPr>
        <w:t xml:space="preserve">) may offset the protective effect of obesity for osteoporosis and fracture. We demonstrated that </w:t>
      </w:r>
      <w:proofErr w:type="spellStart"/>
      <w:r w:rsidR="007974A1">
        <w:rPr>
          <w:rFonts w:asciiTheme="majorBidi" w:hAnsiTheme="majorBidi" w:cstheme="majorBidi"/>
        </w:rPr>
        <w:t>sarcopenic</w:t>
      </w:r>
      <w:proofErr w:type="spellEnd"/>
      <w:r w:rsidR="007974A1">
        <w:rPr>
          <w:rFonts w:asciiTheme="majorBidi" w:hAnsiTheme="majorBidi" w:cstheme="majorBidi"/>
        </w:rPr>
        <w:t xml:space="preserve"> and </w:t>
      </w:r>
      <w:proofErr w:type="spellStart"/>
      <w:r w:rsidR="007974A1">
        <w:rPr>
          <w:rFonts w:asciiTheme="majorBidi" w:hAnsiTheme="majorBidi" w:cstheme="majorBidi"/>
        </w:rPr>
        <w:t>dynapenic</w:t>
      </w:r>
      <w:proofErr w:type="spellEnd"/>
      <w:r w:rsidR="007974A1">
        <w:rPr>
          <w:rFonts w:asciiTheme="majorBidi" w:hAnsiTheme="majorBidi" w:cstheme="majorBidi"/>
        </w:rPr>
        <w:t xml:space="preserve"> obese older adults </w:t>
      </w:r>
      <w:r>
        <w:rPr>
          <w:rFonts w:asciiTheme="majorBidi" w:hAnsiTheme="majorBidi" w:cstheme="majorBidi"/>
        </w:rPr>
        <w:t xml:space="preserve">have </w:t>
      </w:r>
      <w:r w:rsidR="007974A1">
        <w:rPr>
          <w:rFonts w:asciiTheme="majorBidi" w:hAnsiTheme="majorBidi" w:cstheme="majorBidi"/>
        </w:rPr>
        <w:t>low</w:t>
      </w:r>
      <w:r w:rsidR="00530174">
        <w:rPr>
          <w:rFonts w:asciiTheme="majorBidi" w:hAnsiTheme="majorBidi" w:cstheme="majorBidi"/>
        </w:rPr>
        <w:t xml:space="preserve">er </w:t>
      </w:r>
      <w:r>
        <w:rPr>
          <w:rFonts w:asciiTheme="majorBidi" w:hAnsiTheme="majorBidi" w:cstheme="majorBidi"/>
        </w:rPr>
        <w:t>BMD</w:t>
      </w:r>
      <w:r w:rsidR="007974A1">
        <w:rPr>
          <w:rFonts w:asciiTheme="majorBidi" w:hAnsiTheme="majorBidi" w:cstheme="majorBidi"/>
        </w:rPr>
        <w:t xml:space="preserve"> than obese alone</w:t>
      </w:r>
      <w:r>
        <w:rPr>
          <w:rFonts w:asciiTheme="majorBidi" w:hAnsiTheme="majorBidi" w:cstheme="majorBidi"/>
        </w:rPr>
        <w:t xml:space="preserve">, and </w:t>
      </w:r>
      <w:proofErr w:type="spellStart"/>
      <w:r>
        <w:rPr>
          <w:rFonts w:asciiTheme="majorBidi" w:hAnsiTheme="majorBidi" w:cstheme="majorBidi"/>
        </w:rPr>
        <w:t>sarcopenic</w:t>
      </w:r>
      <w:proofErr w:type="spellEnd"/>
      <w:r>
        <w:rPr>
          <w:rFonts w:asciiTheme="majorBidi" w:hAnsiTheme="majorBidi" w:cstheme="majorBidi"/>
        </w:rPr>
        <w:t xml:space="preserve"> obese</w:t>
      </w:r>
      <w:r w:rsidR="007974A1">
        <w:rPr>
          <w:rFonts w:asciiTheme="majorBidi" w:hAnsiTheme="majorBidi" w:cstheme="majorBidi"/>
        </w:rPr>
        <w:t xml:space="preserve"> men</w:t>
      </w:r>
      <w:r>
        <w:rPr>
          <w:rFonts w:asciiTheme="majorBidi" w:hAnsiTheme="majorBidi" w:cstheme="majorBidi"/>
        </w:rPr>
        <w:t xml:space="preserve"> have increased rates of non-vertebral fracture over 10 years</w:t>
      </w:r>
      <w:r w:rsidR="007974A1">
        <w:rPr>
          <w:rFonts w:asciiTheme="majorBidi" w:hAnsiTheme="majorBidi" w:cstheme="majorBidi"/>
        </w:rPr>
        <w:t>.</w:t>
      </w:r>
      <w:r w:rsidRPr="00A45227">
        <w:rPr>
          <w:rFonts w:asciiTheme="majorBidi" w:hAnsiTheme="majorBidi" w:cstheme="majorBidi"/>
          <w:b/>
          <w:bCs/>
        </w:rPr>
        <w:br w:type="page"/>
      </w:r>
    </w:p>
    <w:p w14:paraId="500ADFA6" w14:textId="77777777" w:rsidR="00575EFD" w:rsidRPr="008F2447" w:rsidRDefault="00944A64" w:rsidP="00CF6872">
      <w:pPr>
        <w:spacing w:line="480" w:lineRule="auto"/>
        <w:rPr>
          <w:rFonts w:asciiTheme="majorBidi" w:hAnsiTheme="majorBidi" w:cstheme="majorBidi"/>
          <w:b/>
          <w:bCs/>
        </w:rPr>
      </w:pPr>
      <w:r w:rsidRPr="008F2447">
        <w:rPr>
          <w:rFonts w:asciiTheme="majorBidi" w:hAnsiTheme="majorBidi" w:cstheme="majorBidi"/>
          <w:b/>
          <w:bCs/>
        </w:rPr>
        <w:lastRenderedPageBreak/>
        <w:t>Introduction</w:t>
      </w:r>
    </w:p>
    <w:p w14:paraId="4C32B760" w14:textId="77777777" w:rsidR="00575EFD" w:rsidRPr="008F2447" w:rsidRDefault="00944A64" w:rsidP="00B57F6D">
      <w:pPr>
        <w:spacing w:line="480" w:lineRule="auto"/>
        <w:ind w:firstLine="720"/>
        <w:rPr>
          <w:rFonts w:asciiTheme="majorBidi" w:hAnsiTheme="majorBidi" w:cstheme="majorBidi"/>
        </w:rPr>
      </w:pPr>
      <w:r w:rsidRPr="008F2447">
        <w:rPr>
          <w:rFonts w:asciiTheme="majorBidi" w:hAnsiTheme="majorBidi" w:cstheme="majorBidi"/>
        </w:rPr>
        <w:t>Ageing is associated with changes in body composition and physical function. T</w:t>
      </w:r>
      <w:r w:rsidRPr="008F2447">
        <w:rPr>
          <w:rFonts w:asciiTheme="majorBidi" w:hAnsiTheme="majorBidi" w:cstheme="majorBidi"/>
          <w:lang w:val="en-AU"/>
        </w:rPr>
        <w:t>he decline in muscle function during ageing was originally attributed to loss of muscle mass (</w:t>
      </w:r>
      <w:proofErr w:type="spellStart"/>
      <w:r w:rsidRPr="008F2447">
        <w:rPr>
          <w:rFonts w:asciiTheme="majorBidi" w:hAnsiTheme="majorBidi" w:cstheme="majorBidi"/>
          <w:lang w:val="en-AU"/>
        </w:rPr>
        <w:t>sarcopenia</w:t>
      </w:r>
      <w:proofErr w:type="spellEnd"/>
      <w:r w:rsidRPr="008F2447">
        <w:rPr>
          <w:rFonts w:asciiTheme="majorBidi" w:hAnsiTheme="majorBidi" w:cstheme="majorBidi"/>
          <w:lang w:val="en-AU"/>
        </w:rPr>
        <w:t xml:space="preserve">) </w:t>
      </w:r>
      <w:r w:rsidR="008B481D" w:rsidRPr="008F2447">
        <w:rPr>
          <w:rFonts w:asciiTheme="majorBidi" w:hAnsiTheme="majorBidi" w:cstheme="majorBidi"/>
          <w:lang w:val="en-AU"/>
        </w:rPr>
        <w:fldChar w:fldCharType="begin"/>
      </w:r>
      <w:r w:rsidR="00B57F6D">
        <w:rPr>
          <w:rFonts w:asciiTheme="majorBidi" w:hAnsiTheme="majorBidi" w:cstheme="majorBidi"/>
          <w:lang w:val="en-AU"/>
        </w:rPr>
        <w:instrText xml:space="preserve"> ADDIN EN.CITE &lt;EndNote&gt;&lt;Cite&gt;&lt;Author&gt;Rosenberg&lt;/Author&gt;&lt;Year&gt;1989&lt;/Year&gt;&lt;RecNum&gt;379&lt;/RecNum&gt;&lt;DisplayText&gt;[1]&lt;/DisplayText&gt;&lt;record&gt;&lt;rec-number&gt;379&lt;/rec-number&gt;&lt;foreign-keys&gt;&lt;key app="EN" db-id="0szssftsn5vfs8eepaz5ew9hxvx5dsfds9z5" timestamp="0"&gt;379&lt;/key&gt;&lt;/foreign-keys&gt;&lt;ref-type name="Journal Article"&gt;17&lt;/ref-type&gt;&lt;contributors&gt;&lt;authors&gt;&lt;author&gt;Rosenberg, Irwin H.&lt;/author&gt;&lt;/authors&gt;&lt;/contributors&gt;&lt;titles&gt;&lt;title&gt;Summary comments&lt;/title&gt;&lt;secondary-title&gt;American Journal of Clinical Nutrition&lt;/secondary-title&gt;&lt;/titles&gt;&lt;periodical&gt;&lt;full-title&gt;American Journal of Clinical Nutrition&lt;/full-title&gt;&lt;abbr-1&gt;Am. J. Clin. Nutr.&lt;/abbr-1&gt;&lt;abbr-2&gt;Am J Clin Nutr&lt;/abbr-2&gt;&lt;/periodical&gt;&lt;pages&gt;1231-1233&lt;/pages&gt;&lt;volume&gt;50&lt;/volume&gt;&lt;number&gt;5&lt;/number&gt;&lt;dates&gt;&lt;year&gt;1989&lt;/year&gt;&lt;/dates&gt;&lt;urls&gt;&lt;related-urls&gt;&lt;url&gt;http://www.ajcn.org&lt;/url&gt;&lt;/related-urls&gt;&lt;/urls&gt;&lt;/record&gt;&lt;/Cite&gt;&lt;/EndNote&gt;</w:instrText>
      </w:r>
      <w:r w:rsidR="008B481D" w:rsidRPr="008F2447">
        <w:rPr>
          <w:rFonts w:asciiTheme="majorBidi" w:hAnsiTheme="majorBidi" w:cstheme="majorBidi"/>
          <w:lang w:val="en-AU"/>
        </w:rPr>
        <w:fldChar w:fldCharType="separate"/>
      </w:r>
      <w:r w:rsidR="00B57F6D">
        <w:rPr>
          <w:rFonts w:asciiTheme="majorBidi" w:hAnsiTheme="majorBidi" w:cstheme="majorBidi"/>
          <w:noProof/>
          <w:lang w:val="en-AU"/>
        </w:rPr>
        <w:t>[1]</w:t>
      </w:r>
      <w:r w:rsidR="008B481D" w:rsidRPr="008F2447">
        <w:rPr>
          <w:rFonts w:asciiTheme="majorBidi" w:hAnsiTheme="majorBidi" w:cstheme="majorBidi"/>
          <w:lang w:val="en-AU"/>
        </w:rPr>
        <w:fldChar w:fldCharType="end"/>
      </w:r>
      <w:r w:rsidRPr="008F2447">
        <w:rPr>
          <w:rFonts w:asciiTheme="majorBidi" w:hAnsiTheme="majorBidi" w:cstheme="majorBidi"/>
          <w:lang w:val="en-AU"/>
        </w:rPr>
        <w:t xml:space="preserve"> but subsequent research has demonstrated that strength loss substantially outpaces muscle loss </w:t>
      </w:r>
      <w:r w:rsidR="008B481D" w:rsidRPr="008F2447">
        <w:rPr>
          <w:rFonts w:asciiTheme="majorBidi" w:hAnsiTheme="majorBidi" w:cstheme="majorBidi"/>
          <w:lang w:val="en-AU"/>
        </w:rPr>
        <w:fldChar w:fldCharType="begin"/>
      </w:r>
      <w:r w:rsidR="00B57F6D">
        <w:rPr>
          <w:rFonts w:asciiTheme="majorBidi" w:hAnsiTheme="majorBidi" w:cstheme="majorBidi"/>
          <w:lang w:val="en-AU"/>
        </w:rPr>
        <w:instrText xml:space="preserve"> ADDIN EN.CITE &lt;EndNote&gt;&lt;Cite&gt;&lt;Author&gt;Delmonico&lt;/Author&gt;&lt;Year&gt;2009&lt;/Year&gt;&lt;RecNum&gt;386&lt;/RecNum&gt;&lt;DisplayText&gt;[2]&lt;/DisplayText&gt;&lt;record&gt;&lt;rec-number&gt;386&lt;/rec-number&gt;&lt;foreign-keys&gt;&lt;key app="EN" db-id="0szssftsn5vfs8eepaz5ew9hxvx5dsfds9z5" timestamp="0"&gt;386&lt;/key&gt;&lt;/foreign-keys&gt;&lt;ref-type name="Journal Article"&gt;17&lt;/ref-type&gt;&lt;contributors&gt;&lt;authors&gt;&lt;author&gt;Delmonico, Matthew J.&lt;/author&gt;&lt;author&gt;Harris, Tamara B.&lt;/author&gt;&lt;author&gt;Visser, Marjolein&lt;/author&gt;&lt;author&gt;Park, Seok Won&lt;/author&gt;&lt;author&gt;Conroy, Molly B.&lt;/author&gt;&lt;author&gt;Velasquez-Mieyer, Pedro&lt;/author&gt;&lt;author&gt;Boudreau, Robert&lt;/author&gt;&lt;author&gt;Manini, Todd M.&lt;/author&gt;&lt;author&gt;Nevitt, Michael&lt;/author&gt;&lt;author&gt;Newman, Anne B.&lt;/author&gt;&lt;author&gt;Goodpaster, Bret H.&lt;/author&gt;&lt;/authors&gt;&lt;/contributors&gt;&lt;titles&gt;&lt;title&gt;Longitudinal study of muscle strength, quality, and adipose tissue infiltration&lt;/title&gt;&lt;secondary-title&gt;American Journal of Clinical Nutrition&lt;/secondary-title&gt;&lt;/titles&gt;&lt;periodical&gt;&lt;full-title&gt;American Journal of Clinical Nutrition&lt;/full-title&gt;&lt;abbr-1&gt;Am. J. Clin. Nutr.&lt;/abbr-1&gt;&lt;abbr-2&gt;Am J Clin Nutr&lt;/abbr-2&gt;&lt;/periodical&gt;&lt;pages&gt;1579-1585&lt;/pages&gt;&lt;volume&gt;90&lt;/volume&gt;&lt;number&gt;6&lt;/number&gt;&lt;dates&gt;&lt;year&gt;2009&lt;/year&gt;&lt;/dates&gt;&lt;urls&gt;&lt;related-urls&gt;&lt;url&gt;http://www.ajcn.org/cgi/content/abstract/90/6/1579&lt;/url&gt;&lt;/related-urls&gt;&lt;/urls&gt;&lt;electronic-resource-num&gt;10.3945/ajcn.2009.28047&lt;/electronic-resource-num&gt;&lt;/record&gt;&lt;/Cite&gt;&lt;/EndNote&gt;</w:instrText>
      </w:r>
      <w:r w:rsidR="008B481D" w:rsidRPr="008F2447">
        <w:rPr>
          <w:rFonts w:asciiTheme="majorBidi" w:hAnsiTheme="majorBidi" w:cstheme="majorBidi"/>
          <w:lang w:val="en-AU"/>
        </w:rPr>
        <w:fldChar w:fldCharType="separate"/>
      </w:r>
      <w:r w:rsidR="00B57F6D">
        <w:rPr>
          <w:rFonts w:asciiTheme="majorBidi" w:hAnsiTheme="majorBidi" w:cstheme="majorBidi"/>
          <w:noProof/>
          <w:lang w:val="en-AU"/>
        </w:rPr>
        <w:t>[2]</w:t>
      </w:r>
      <w:r w:rsidR="008B481D" w:rsidRPr="008F2447">
        <w:rPr>
          <w:rFonts w:asciiTheme="majorBidi" w:hAnsiTheme="majorBidi" w:cstheme="majorBidi"/>
          <w:lang w:val="en-AU"/>
        </w:rPr>
        <w:fldChar w:fldCharType="end"/>
      </w:r>
      <w:r w:rsidRPr="008F2447">
        <w:rPr>
          <w:rFonts w:asciiTheme="majorBidi" w:hAnsiTheme="majorBidi" w:cstheme="majorBidi"/>
          <w:lang w:val="en-AU"/>
        </w:rPr>
        <w:t xml:space="preserve"> and that its association with functional decline is independent of muscle mass </w:t>
      </w:r>
      <w:r w:rsidR="008B481D" w:rsidRPr="008F2447">
        <w:rPr>
          <w:rFonts w:asciiTheme="majorBidi" w:hAnsiTheme="majorBidi" w:cstheme="majorBidi"/>
          <w:lang w:val="en-AU"/>
        </w:rPr>
        <w:fldChar w:fldCharType="begin"/>
      </w:r>
      <w:r w:rsidR="00B57F6D">
        <w:rPr>
          <w:rFonts w:asciiTheme="majorBidi" w:hAnsiTheme="majorBidi" w:cstheme="majorBidi"/>
          <w:lang w:val="en-AU"/>
        </w:rPr>
        <w:instrText xml:space="preserve"> ADDIN EN.CITE &lt;EndNote&gt;&lt;Cite&gt;&lt;Author&gt;Visser&lt;/Author&gt;&lt;Year&gt;2011&lt;/Year&gt;&lt;RecNum&gt;727&lt;/RecNum&gt;&lt;DisplayText&gt;[3]&lt;/DisplayText&gt;&lt;record&gt;&lt;rec-number&gt;727&lt;/rec-number&gt;&lt;foreign-keys&gt;&lt;key app="EN" db-id="0szssftsn5vfs8eepaz5ew9hxvx5dsfds9z5" timestamp="1314580347"&gt;727&lt;/key&gt;&lt;/foreign-keys&gt;&lt;ref-type name="Journal Article"&gt;17&lt;/ref-type&gt;&lt;contributors&gt;&lt;authors&gt;&lt;author&gt;Visser, M.&lt;/author&gt;&lt;author&gt;Schaap, L.A.&lt;/author&gt;&lt;/authors&gt;&lt;/contributors&gt;&lt;titles&gt;&lt;title&gt;Consequences of Sarcopenia&lt;/title&gt;&lt;secondary-title&gt;Clinics in Geriatric Medicine&lt;/secondary-title&gt;&lt;/titles&gt;&lt;periodical&gt;&lt;full-title&gt;Clinics in Geriatric Medicine&lt;/full-title&gt;&lt;abbr-1&gt;Clin. Geriatr. Med.&lt;/abbr-1&gt;&lt;abbr-2&gt;Clin Geriatr Med&lt;/abbr-2&gt;&lt;/periodical&gt;&lt;pages&gt;387-99&lt;/pages&gt;&lt;volume&gt;27&lt;/volume&gt;&lt;number&gt;3&lt;/number&gt;&lt;dates&gt;&lt;year&gt;2011&lt;/year&gt;&lt;/dates&gt;&lt;isbn&gt;0749-0690&lt;/isbn&gt;&lt;urls&gt;&lt;/urls&gt;&lt;/record&gt;&lt;/Cite&gt;&lt;/EndNote&gt;</w:instrText>
      </w:r>
      <w:r w:rsidR="008B481D" w:rsidRPr="008F2447">
        <w:rPr>
          <w:rFonts w:asciiTheme="majorBidi" w:hAnsiTheme="majorBidi" w:cstheme="majorBidi"/>
          <w:lang w:val="en-AU"/>
        </w:rPr>
        <w:fldChar w:fldCharType="separate"/>
      </w:r>
      <w:r w:rsidR="00B57F6D">
        <w:rPr>
          <w:rFonts w:asciiTheme="majorBidi" w:hAnsiTheme="majorBidi" w:cstheme="majorBidi"/>
          <w:noProof/>
          <w:lang w:val="en-AU"/>
        </w:rPr>
        <w:t>[3]</w:t>
      </w:r>
      <w:r w:rsidR="008B481D" w:rsidRPr="008F2447">
        <w:rPr>
          <w:rFonts w:asciiTheme="majorBidi" w:hAnsiTheme="majorBidi" w:cstheme="majorBidi"/>
          <w:lang w:val="en-AU"/>
        </w:rPr>
        <w:fldChar w:fldCharType="end"/>
      </w:r>
      <w:r w:rsidRPr="008F2447">
        <w:rPr>
          <w:rFonts w:asciiTheme="majorBidi" w:hAnsiTheme="majorBidi" w:cstheme="majorBidi"/>
          <w:lang w:val="en-AU"/>
        </w:rPr>
        <w:t>. It has therefore been suggested that loss of strength (</w:t>
      </w:r>
      <w:proofErr w:type="spellStart"/>
      <w:r w:rsidRPr="008F2447">
        <w:rPr>
          <w:rFonts w:asciiTheme="majorBidi" w:hAnsiTheme="majorBidi" w:cstheme="majorBidi"/>
          <w:lang w:val="en-AU"/>
        </w:rPr>
        <w:t>dynapenia</w:t>
      </w:r>
      <w:proofErr w:type="spellEnd"/>
      <w:r w:rsidRPr="008F2447">
        <w:rPr>
          <w:rFonts w:asciiTheme="majorBidi" w:hAnsiTheme="majorBidi" w:cstheme="majorBidi"/>
          <w:lang w:val="en-AU"/>
        </w:rPr>
        <w:t xml:space="preserve">) and </w:t>
      </w:r>
      <w:proofErr w:type="spellStart"/>
      <w:r w:rsidRPr="008F2447">
        <w:rPr>
          <w:rFonts w:asciiTheme="majorBidi" w:hAnsiTheme="majorBidi" w:cstheme="majorBidi"/>
          <w:lang w:val="en-AU"/>
        </w:rPr>
        <w:t>sarcopenia</w:t>
      </w:r>
      <w:proofErr w:type="spellEnd"/>
      <w:r w:rsidRPr="008F2447">
        <w:rPr>
          <w:rFonts w:asciiTheme="majorBidi" w:hAnsiTheme="majorBidi" w:cstheme="majorBidi"/>
          <w:lang w:val="en-AU"/>
        </w:rPr>
        <w:t xml:space="preserve"> should be considered separate processes </w:t>
      </w:r>
      <w:r w:rsidR="008B481D" w:rsidRPr="008F2447">
        <w:rPr>
          <w:rFonts w:asciiTheme="majorBidi" w:hAnsiTheme="majorBidi" w:cstheme="majorBidi"/>
          <w:lang w:val="en-AU"/>
        </w:rPr>
        <w:fldChar w:fldCharType="begin"/>
      </w:r>
      <w:r w:rsidR="00B57F6D">
        <w:rPr>
          <w:rFonts w:asciiTheme="majorBidi" w:hAnsiTheme="majorBidi" w:cstheme="majorBidi"/>
          <w:lang w:val="en-AU"/>
        </w:rPr>
        <w:instrText xml:space="preserve"> ADDIN EN.CITE &lt;EndNote&gt;&lt;Cite&gt;&lt;Author&gt;Clark&lt;/Author&gt;&lt;Year&gt;2008&lt;/Year&gt;&lt;RecNum&gt;619&lt;/RecNum&gt;&lt;DisplayText&gt;[4]&lt;/DisplayText&gt;&lt;record&gt;&lt;rec-number&gt;619&lt;/rec-number&gt;&lt;foreign-keys&gt;&lt;key app="EN" db-id="0szssftsn5vfs8eepaz5ew9hxvx5dsfds9z5" timestamp="0"&gt;619&lt;/key&gt;&lt;/fo</w:instrText>
      </w:r>
      <w:r w:rsidR="00B57F6D">
        <w:rPr>
          <w:rFonts w:asciiTheme="majorBidi" w:hAnsiTheme="majorBidi" w:cstheme="majorBidi" w:hint="eastAsia"/>
          <w:lang w:val="en-AU"/>
        </w:rPr>
        <w:instrText xml:space="preserve">reign-keys&gt;&lt;ref-type name="Journal Article"&gt;17&lt;/ref-type&gt;&lt;contributors&gt;&lt;authors&gt;&lt;author&gt;Clark, Brian C.&lt;/author&gt;&lt;author&gt;Manini, Todd M.&lt;/author&gt;&lt;/authors&gt;&lt;/contributors&gt;&lt;titles&gt;&lt;title&gt;Sarcopenia </w:instrText>
      </w:r>
      <w:r w:rsidR="00B57F6D">
        <w:rPr>
          <w:rFonts w:asciiTheme="majorBidi" w:hAnsiTheme="majorBidi" w:cstheme="majorBidi" w:hint="eastAsia"/>
          <w:lang w:val="en-AU"/>
        </w:rPr>
        <w:instrText>≠</w:instrText>
      </w:r>
      <w:r w:rsidR="00B57F6D">
        <w:rPr>
          <w:rFonts w:asciiTheme="majorBidi" w:hAnsiTheme="majorBidi" w:cstheme="majorBidi" w:hint="eastAsia"/>
          <w:lang w:val="en-AU"/>
        </w:rPr>
        <w:instrText xml:space="preserve"> Dynapenia&lt;/title&gt;&lt;secondary-title&gt;Journals of Gerontology.</w:instrText>
      </w:r>
      <w:r w:rsidR="00B57F6D">
        <w:rPr>
          <w:rFonts w:asciiTheme="majorBidi" w:hAnsiTheme="majorBidi" w:cstheme="majorBidi"/>
          <w:lang w:val="en-AU"/>
        </w:rPr>
        <w:instrText xml:space="preserve"> Series A, Biological Sciences and Medical Sciences&lt;/secondary-title&gt;&lt;/titles&gt;&lt;periodical&gt;&lt;full-title&gt;Journals of Gerontology. Series A, Biological Sciences and Medical Sciences&lt;/full-title&gt;&lt;abbr-1&gt;J. Gerontol. A. Biol. Sci. Med. Sci.&lt;/abbr-1&gt;&lt;abbr-2&gt;J Gerontol A Biol Sci Med Sci&lt;/abbr-2&gt;&lt;/periodical&gt;&lt;pages&gt;829-834&lt;/pages&gt;&lt;volume&gt;63&lt;/volume&gt;&lt;number&gt;8&lt;/number&gt;&lt;dates&gt;&lt;year&gt;2008&lt;/year&gt;&lt;/dates&gt;&lt;urls&gt;&lt;related-urls&gt;&lt;url&gt;http://biomedgerontology.oxfordjournals.org/content/63/8/829.abstract&lt;/url&gt;&lt;/related-urls&gt;&lt;/urls&gt;&lt;/record&gt;&lt;/Cite&gt;&lt;/EndNote&gt;</w:instrText>
      </w:r>
      <w:r w:rsidR="008B481D" w:rsidRPr="008F2447">
        <w:rPr>
          <w:rFonts w:asciiTheme="majorBidi" w:hAnsiTheme="majorBidi" w:cstheme="majorBidi"/>
          <w:lang w:val="en-AU"/>
        </w:rPr>
        <w:fldChar w:fldCharType="separate"/>
      </w:r>
      <w:r w:rsidR="00B57F6D">
        <w:rPr>
          <w:rFonts w:asciiTheme="majorBidi" w:hAnsiTheme="majorBidi" w:cstheme="majorBidi"/>
          <w:noProof/>
          <w:lang w:val="en-AU"/>
        </w:rPr>
        <w:t>[4]</w:t>
      </w:r>
      <w:r w:rsidR="008B481D" w:rsidRPr="008F2447">
        <w:rPr>
          <w:rFonts w:asciiTheme="majorBidi" w:hAnsiTheme="majorBidi" w:cstheme="majorBidi"/>
          <w:lang w:val="en-AU"/>
        </w:rPr>
        <w:fldChar w:fldCharType="end"/>
      </w:r>
      <w:r w:rsidRPr="008F2447">
        <w:rPr>
          <w:rFonts w:asciiTheme="majorBidi" w:hAnsiTheme="majorBidi" w:cstheme="majorBidi"/>
          <w:lang w:val="en-AU"/>
        </w:rPr>
        <w:t xml:space="preserve">. While </w:t>
      </w:r>
      <w:proofErr w:type="spellStart"/>
      <w:r w:rsidRPr="008F2447">
        <w:rPr>
          <w:rFonts w:asciiTheme="majorBidi" w:hAnsiTheme="majorBidi" w:cstheme="majorBidi"/>
          <w:lang w:val="en-AU"/>
        </w:rPr>
        <w:t>sarcopenia</w:t>
      </w:r>
      <w:proofErr w:type="spellEnd"/>
      <w:r w:rsidRPr="008F2447">
        <w:rPr>
          <w:rFonts w:asciiTheme="majorBidi" w:hAnsiTheme="majorBidi" w:cstheme="majorBidi"/>
          <w:lang w:val="en-AU"/>
        </w:rPr>
        <w:t xml:space="preserve"> is likely </w:t>
      </w:r>
      <w:r w:rsidR="00D51A8D" w:rsidRPr="008F2447">
        <w:rPr>
          <w:rFonts w:asciiTheme="majorBidi" w:hAnsiTheme="majorBidi" w:cstheme="majorBidi"/>
          <w:lang w:val="en-AU"/>
        </w:rPr>
        <w:t xml:space="preserve">less </w:t>
      </w:r>
      <w:r w:rsidRPr="008F2447">
        <w:rPr>
          <w:rFonts w:asciiTheme="majorBidi" w:hAnsiTheme="majorBidi" w:cstheme="majorBidi"/>
          <w:lang w:val="en-AU"/>
        </w:rPr>
        <w:t xml:space="preserve">closely associated with falls risk </w:t>
      </w:r>
      <w:r w:rsidR="00D51A8D" w:rsidRPr="008F2447">
        <w:rPr>
          <w:rFonts w:asciiTheme="majorBidi" w:hAnsiTheme="majorBidi" w:cstheme="majorBidi"/>
          <w:lang w:val="en-AU"/>
        </w:rPr>
        <w:t xml:space="preserve">compared to </w:t>
      </w:r>
      <w:proofErr w:type="spellStart"/>
      <w:r w:rsidRPr="008F2447">
        <w:rPr>
          <w:rFonts w:asciiTheme="majorBidi" w:hAnsiTheme="majorBidi" w:cstheme="majorBidi"/>
          <w:lang w:val="en-AU"/>
        </w:rPr>
        <w:t>dynapenia</w:t>
      </w:r>
      <w:proofErr w:type="spellEnd"/>
      <w:r w:rsidRPr="008F2447">
        <w:rPr>
          <w:rFonts w:asciiTheme="majorBidi" w:hAnsiTheme="majorBidi" w:cstheme="majorBidi"/>
          <w:lang w:val="en-AU"/>
        </w:rPr>
        <w:t xml:space="preserve"> </w:t>
      </w:r>
      <w:r w:rsidR="008B481D" w:rsidRPr="008F2447">
        <w:rPr>
          <w:rFonts w:asciiTheme="majorBidi" w:hAnsiTheme="majorBidi" w:cstheme="majorBidi"/>
          <w:lang w:val="en-AU"/>
        </w:rPr>
        <w:fldChar w:fldCharType="begin"/>
      </w:r>
      <w:r w:rsidR="00B57F6D">
        <w:rPr>
          <w:rFonts w:asciiTheme="majorBidi" w:hAnsiTheme="majorBidi" w:cstheme="majorBidi"/>
          <w:lang w:val="en-AU"/>
        </w:rPr>
        <w:instrText xml:space="preserve"> ADDIN EN.CITE &lt;EndNote&gt;&lt;Cite&gt;&lt;Author&gt;Scott&lt;/Author&gt;&lt;Year&gt;2015&lt;/Year&gt;&lt;RecNum&gt;2409&lt;/RecNum&gt;&lt;DisplayText&gt;[5]&lt;/DisplayText&gt;&lt;record&gt;&lt;rec-number&gt;2409&lt;/rec-number&gt;&lt;foreign-keys&gt;&lt;key app="EN" db-id="0szssftsn5vfs8eepaz5ew9hxvx5dsfds9z5" timestamp="1433806769"&gt;2409&lt;/key&gt;&lt;/foreign-keys&gt;&lt;ref-type name="Journal Article"&gt;17&lt;/ref-type&gt;&lt;contributors&gt;&lt;authors&gt;&lt;author&gt;Scott, David&lt;/author&gt;&lt;author&gt;Daly, Robin M&lt;/author&gt;&lt;author&gt;Sanders, Kerrie M&lt;/author&gt;&lt;author&gt;Ebeling, Peter R&lt;/author&gt;&lt;/authors&gt;&lt;/contributors&gt;&lt;titles&gt;&lt;title&gt;Fall and Fracture Risk in Sarcopenia and Dynapenia With and Without Obesity: the Role of Lifestyle Interventions&lt;/title&gt;&lt;secondary-title&gt;Current Osteoporosis Reports&lt;/secondary-title&gt;&lt;/titles&gt;&lt;periodical&gt;&lt;full-title&gt;Current Osteoporosis Reports&lt;/full-title&gt;&lt;abbr-1&gt;Curr. Osteoporos. Rep.&lt;/abbr-1&gt;&lt;abbr-2&gt;Curr Osteoporos Rep&lt;/abbr-2&gt;&lt;/periodical&gt;&lt;pages&gt;235-244&lt;/pages&gt;&lt;volume&gt;13&lt;/volume&gt;&lt;number&gt;4&lt;/number&gt;&lt;dates&gt;&lt;year&gt;2015&lt;/year&gt;&lt;/dates&gt;&lt;isbn&gt;1544-1873&lt;/isbn&gt;&lt;urls&gt;&lt;/urls&gt;&lt;/record&gt;&lt;/Cite&gt;&lt;/EndNote&gt;</w:instrText>
      </w:r>
      <w:r w:rsidR="008B481D" w:rsidRPr="008F2447">
        <w:rPr>
          <w:rFonts w:asciiTheme="majorBidi" w:hAnsiTheme="majorBidi" w:cstheme="majorBidi"/>
          <w:lang w:val="en-AU"/>
        </w:rPr>
        <w:fldChar w:fldCharType="separate"/>
      </w:r>
      <w:r w:rsidR="00B57F6D">
        <w:rPr>
          <w:rFonts w:asciiTheme="majorBidi" w:hAnsiTheme="majorBidi" w:cstheme="majorBidi"/>
          <w:noProof/>
          <w:lang w:val="en-AU"/>
        </w:rPr>
        <w:t>[5]</w:t>
      </w:r>
      <w:r w:rsidR="008B481D" w:rsidRPr="008F2447">
        <w:rPr>
          <w:rFonts w:asciiTheme="majorBidi" w:hAnsiTheme="majorBidi" w:cstheme="majorBidi"/>
          <w:lang w:val="en-AU"/>
        </w:rPr>
        <w:fldChar w:fldCharType="end"/>
      </w:r>
      <w:r w:rsidRPr="008F2447">
        <w:rPr>
          <w:rFonts w:asciiTheme="majorBidi" w:hAnsiTheme="majorBidi" w:cstheme="majorBidi"/>
          <w:lang w:val="en-AU"/>
        </w:rPr>
        <w:t xml:space="preserve">, </w:t>
      </w:r>
      <w:r w:rsidRPr="008F2447">
        <w:rPr>
          <w:rFonts w:asciiTheme="majorBidi" w:hAnsiTheme="majorBidi" w:cstheme="majorBidi"/>
        </w:rPr>
        <w:t xml:space="preserve">given that both muscle mass and strength are positively associated with bone health in older adults </w:t>
      </w:r>
      <w:r w:rsidR="008B481D" w:rsidRPr="008F2447">
        <w:rPr>
          <w:rFonts w:asciiTheme="majorBidi" w:hAnsiTheme="majorBidi" w:cstheme="majorBidi"/>
        </w:rPr>
        <w:fldChar w:fldCharType="begin"/>
      </w:r>
      <w:r w:rsidR="00B57F6D">
        <w:rPr>
          <w:rFonts w:asciiTheme="majorBidi" w:hAnsiTheme="majorBidi" w:cstheme="majorBidi"/>
        </w:rPr>
        <w:instrText xml:space="preserve"> ADDIN EN.CITE &lt;EndNote&gt;&lt;Cite&gt;&lt;Author&gt;Edwards&lt;/Author&gt;&lt;Year&gt;2013&lt;/Year&gt;&lt;RecNum&gt;1121&lt;/RecNum&gt;&lt;DisplayText&gt;[6]&lt;/DisplayText&gt;&lt;record&gt;&lt;rec-number&gt;1121&lt;/rec-number&gt;&lt;foreign-keys&gt;&lt;key app="EN" db-id="0szssftsn5vfs8eepaz5ew9hxvx5dsfds9z5" timestamp="1367470588"&gt;1121&lt;/key&gt;&lt;/foreign-keys&gt;&lt;ref-type name="Journal Article"&gt;17&lt;/ref-type&gt;&lt;contributors&gt;&lt;authors&gt;&lt;author&gt;Edwards, M. H.&lt;/author&gt;&lt;author&gt;Gregson, C. L.&lt;/author&gt;&lt;author&gt;Patel, H. P.&lt;/author&gt;&lt;author&gt;Jameson, K. A.&lt;/author&gt;&lt;author&gt;Harvey, N. C.&lt;/author&gt;&lt;author&gt;Sayer, A. Aihie&lt;/author&gt;&lt;author&gt;Dennison, E. M.&lt;/author&gt;&lt;author&gt;Cooper, C.&lt;/author&gt;&lt;/authors&gt;&lt;/contributors&gt;&lt;titles&gt;&lt;title&gt;Muscle size, strength and physical performance and their associations with bone structure in the Hertfordshire Cohort Study&lt;/title&gt;&lt;secondary-title&gt;Journal of Bone and Mineral Research&lt;/secondary-title&gt;&lt;/titles&gt;&lt;periodical&gt;&lt;full-title&gt;Journal of Bone and Mineral Research&lt;/full-title&gt;&lt;abbr-1&gt;J. Bone Miner. Res.&lt;/abbr-1&gt;&lt;abbr-2&gt;J Bone Miner Res&lt;/abbr-2&gt;&lt;/periodical&gt;&lt;pages&gt;2295-2304&lt;/pages&gt;&lt;volume&gt;28&lt;/volume&gt;&lt;number&gt;11&lt;/number&gt;&lt;keywords&gt;&lt;keyword&gt;Osteoporosis&lt;/keyword&gt;&lt;keyword&gt;Epidemiology&lt;/keyword&gt;&lt;keyword&gt;Sarcopenia&lt;/keyword&gt;&lt;keyword&gt;Peripheral Quantitative Computed Tomography (pQCT)&lt;/keyword&gt;&lt;keyword&gt;Muscle&lt;/keyword&gt;&lt;/keywords&gt;&lt;dates&gt;&lt;year&gt;2013&lt;/year&gt;&lt;/dates&gt;&lt;isbn&gt;1523-4681&lt;/isbn&gt;&lt;urls&gt;&lt;related-urls&gt;&lt;url&gt;http://dx.doi.org/10.1002/jbmr.1972&lt;/url&gt;&lt;/related-urls&gt;&lt;/urls&gt;&lt;electronic-resource-num&gt;10.1002/jbmr.1972&lt;/electronic-resource-num&gt;&lt;/record&gt;&lt;/Cite&gt;&lt;/EndNote&gt;</w:instrText>
      </w:r>
      <w:r w:rsidR="008B481D" w:rsidRPr="008F2447">
        <w:rPr>
          <w:rFonts w:asciiTheme="majorBidi" w:hAnsiTheme="majorBidi" w:cstheme="majorBidi"/>
        </w:rPr>
        <w:fldChar w:fldCharType="separate"/>
      </w:r>
      <w:r w:rsidR="00B57F6D">
        <w:rPr>
          <w:rFonts w:asciiTheme="majorBidi" w:hAnsiTheme="majorBidi" w:cstheme="majorBidi"/>
          <w:noProof/>
        </w:rPr>
        <w:t>[6]</w:t>
      </w:r>
      <w:r w:rsidR="008B481D" w:rsidRPr="008F2447">
        <w:rPr>
          <w:rFonts w:asciiTheme="majorBidi" w:hAnsiTheme="majorBidi" w:cstheme="majorBidi"/>
        </w:rPr>
        <w:fldChar w:fldCharType="end"/>
      </w:r>
      <w:r w:rsidRPr="008F2447">
        <w:rPr>
          <w:rFonts w:asciiTheme="majorBidi" w:hAnsiTheme="majorBidi" w:cstheme="majorBidi"/>
        </w:rPr>
        <w:t>, those with either condition may have an increased risk for fracture.</w:t>
      </w:r>
    </w:p>
    <w:p w14:paraId="50B1B012" w14:textId="77777777" w:rsidR="00575EFD" w:rsidRPr="008F2447" w:rsidRDefault="00944A64" w:rsidP="00B57F6D">
      <w:pPr>
        <w:spacing w:line="480" w:lineRule="auto"/>
        <w:ind w:firstLine="720"/>
        <w:rPr>
          <w:rFonts w:asciiTheme="majorBidi" w:hAnsiTheme="majorBidi" w:cstheme="majorBidi"/>
        </w:rPr>
      </w:pPr>
      <w:r w:rsidRPr="008F2447">
        <w:rPr>
          <w:rFonts w:asciiTheme="majorBidi" w:hAnsiTheme="majorBidi" w:cstheme="majorBidi"/>
        </w:rPr>
        <w:t xml:space="preserve">Obesity increases the risk of falls, but not necessarily fall-related injuries </w:t>
      </w:r>
      <w:r w:rsidR="008B481D" w:rsidRPr="008F2447">
        <w:rPr>
          <w:rFonts w:asciiTheme="majorBidi" w:hAnsiTheme="majorBidi" w:cstheme="majorBidi"/>
        </w:rPr>
        <w:fldChar w:fldCharType="begin"/>
      </w:r>
      <w:r w:rsidR="00B57F6D">
        <w:rPr>
          <w:rFonts w:asciiTheme="majorBidi" w:hAnsiTheme="majorBidi" w:cstheme="majorBidi"/>
        </w:rPr>
        <w:instrText xml:space="preserve"> ADDIN EN.CITE &lt;EndNote&gt;&lt;Cite&gt;&lt;Author&gt;Mitchell&lt;/Author&gt;&lt;Year&gt;2014&lt;/Year&gt;&lt;RecNum&gt;1803&lt;/RecNum&gt;&lt;DisplayText&gt;[7]&lt;/DisplayText&gt;&lt;record&gt;&lt;rec-number&gt;1803&lt;/rec-number&gt;&lt;foreign-keys&gt;&lt;key app="EN" db-id="0szssftsn5vfs8eepaz5ew9hxvx5dsfds9z5" timestamp="1403498220"&gt;1803&lt;/key&gt;&lt;/foreign-keys&gt;&lt;ref-type name="Journal Article"&gt;17&lt;/ref-type&gt;&lt;contributors&gt;&lt;authors&gt;&lt;author&gt;Mitchell, Rebecca J&lt;/author&gt;&lt;author&gt;Lord, Stephen R&lt;/author&gt;&lt;author&gt;Harvey, Lara A&lt;/author&gt;&lt;author&gt;Close, Jacqueline CT&lt;/author&gt;&lt;/authors&gt;&lt;/contributors&gt;&lt;titles&gt;&lt;title&gt;Associations between obesity and overweight and fall risk, health status and quality of life in older people&lt;/title&gt;&lt;secondary-title&gt;Australian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periodical&gt;&lt;pages&gt;13-18&lt;/pages&gt;&lt;volume&gt;38&lt;/volume&gt;&lt;number&gt;1&lt;/number&gt;&lt;dates&gt;&lt;year&gt;2014&lt;/year&gt;&lt;/dates&gt;&lt;isbn&gt;1753-6405&lt;/isbn&gt;&lt;urls&gt;&lt;/urls&gt;&lt;/record&gt;&lt;/Cite&gt;&lt;/EndNote&gt;</w:instrText>
      </w:r>
      <w:r w:rsidR="008B481D" w:rsidRPr="008F2447">
        <w:rPr>
          <w:rFonts w:asciiTheme="majorBidi" w:hAnsiTheme="majorBidi" w:cstheme="majorBidi"/>
        </w:rPr>
        <w:fldChar w:fldCharType="separate"/>
      </w:r>
      <w:r w:rsidR="00B57F6D">
        <w:rPr>
          <w:rFonts w:asciiTheme="majorBidi" w:hAnsiTheme="majorBidi" w:cstheme="majorBidi"/>
          <w:noProof/>
        </w:rPr>
        <w:t>[7]</w:t>
      </w:r>
      <w:r w:rsidR="008B481D" w:rsidRPr="008F2447">
        <w:rPr>
          <w:rFonts w:asciiTheme="majorBidi" w:hAnsiTheme="majorBidi" w:cstheme="majorBidi"/>
        </w:rPr>
        <w:fldChar w:fldCharType="end"/>
      </w:r>
      <w:r w:rsidRPr="008F2447">
        <w:rPr>
          <w:rFonts w:asciiTheme="majorBidi" w:hAnsiTheme="majorBidi" w:cstheme="majorBidi"/>
        </w:rPr>
        <w:t>. A protective effect of obesity for fracture may be mediated by increased bone mineral density (BMD) and soft-tissue padding at certain sites</w:t>
      </w:r>
      <w:r w:rsidR="008F2447">
        <w:rPr>
          <w:rFonts w:asciiTheme="majorBidi" w:hAnsiTheme="majorBidi" w:cstheme="majorBidi"/>
        </w:rPr>
        <w:t xml:space="preserve"> </w:t>
      </w:r>
      <w:r w:rsidR="008B481D">
        <w:rPr>
          <w:rFonts w:asciiTheme="majorBidi" w:hAnsiTheme="majorBidi" w:cstheme="majorBidi"/>
        </w:rPr>
        <w:fldChar w:fldCharType="begin"/>
      </w:r>
      <w:r w:rsidR="00B57F6D">
        <w:rPr>
          <w:rFonts w:asciiTheme="majorBidi" w:hAnsiTheme="majorBidi" w:cstheme="majorBidi"/>
        </w:rPr>
        <w:instrText xml:space="preserve"> ADDIN EN.CITE &lt;EndNote&gt;&lt;Cite&gt;&lt;Author&gt;Compston&lt;/Author&gt;&lt;Year&gt;2011&lt;/Year&gt;&lt;RecNum&gt;1170&lt;/RecNum&gt;&lt;DisplayText&gt;[8]&lt;/DisplayText&gt;&lt;record&gt;&lt;rec-number&gt;1170&lt;/rec-number&gt;&lt;foreign-keys&gt;&lt;key app="EN" db-id="0szssftsn5vfs8eepaz5ew9hxvx5dsfds9z5" timestamp="1370581769"&gt;1170&lt;/key&gt;&lt;/foreign-keys&gt;&lt;ref-type name="Journal Article"&gt;17&lt;/ref-type&gt;&lt;contributors&gt;&lt;authors&gt;&lt;author&gt;Compston, Juliet E&lt;/author&gt;&lt;author&gt;Watts, Nelson B&lt;/author&gt;&lt;author&gt;Chapurlat, Roland&lt;/author&gt;&lt;author&gt;Cooper, Cyrus&lt;/author&gt;&lt;author&gt;Boonen, Steven&lt;/author&gt;&lt;author&gt;Greenspan, Susan&lt;/author&gt;&lt;author&gt;Pfeilschifter, Johannes&lt;/author&gt;&lt;author&gt;Silverman, Stuart&lt;/author&gt;&lt;author&gt;Díez-Pérez, Adolfo&lt;/author&gt;&lt;author&gt;Lindsay, Robert&lt;/author&gt;&lt;/authors&gt;&lt;/contributors&gt;&lt;titles&gt;&lt;title&gt;Obesity is not protective against fracture in postmenopausal women: GLOW&lt;/title&gt;&lt;secondary-title&gt;American journal of medicine&lt;/secondary-title&gt;&lt;/titles&gt;&lt;periodical&gt;&lt;full-title&gt;American Journal of Medicine&lt;/full-title&gt;&lt;abbr-1&gt;Am. J. Med.&lt;/abbr-1&gt;&lt;abbr-2&gt;Am J Med&lt;/abbr-2&gt;&lt;/periodical&gt;&lt;pages&gt;1043-1050&lt;/pages&gt;&lt;volume&gt;124&lt;/volume&gt;&lt;number&gt;11&lt;/number&gt;&lt;dates&gt;&lt;year&gt;2011&lt;/year&gt;&lt;/dates&gt;&lt;isbn&gt;0002-9343&lt;/isbn&gt;&lt;urls&gt;&lt;/urls&gt;&lt;/record&gt;&lt;/Cite&gt;&lt;/EndNote&gt;</w:instrText>
      </w:r>
      <w:r w:rsidR="008B481D">
        <w:rPr>
          <w:rFonts w:asciiTheme="majorBidi" w:hAnsiTheme="majorBidi" w:cstheme="majorBidi"/>
        </w:rPr>
        <w:fldChar w:fldCharType="separate"/>
      </w:r>
      <w:r w:rsidR="00B57F6D">
        <w:rPr>
          <w:rFonts w:asciiTheme="majorBidi" w:hAnsiTheme="majorBidi" w:cstheme="majorBidi"/>
          <w:noProof/>
        </w:rPr>
        <w:t>[8]</w:t>
      </w:r>
      <w:r w:rsidR="008B481D">
        <w:rPr>
          <w:rFonts w:asciiTheme="majorBidi" w:hAnsiTheme="majorBidi" w:cstheme="majorBidi"/>
        </w:rPr>
        <w:fldChar w:fldCharType="end"/>
      </w:r>
      <w:r w:rsidRPr="008F2447">
        <w:rPr>
          <w:rFonts w:asciiTheme="majorBidi" w:hAnsiTheme="majorBidi" w:cstheme="majorBidi"/>
        </w:rPr>
        <w:t xml:space="preserve">. Despite this individual protective effect, with obesity epidemics and ageing populations common in developing countries, a substantial proportion of fractures now occur in the overweight and obese older adult population </w:t>
      </w:r>
      <w:r w:rsidR="008B481D" w:rsidRPr="008F2447">
        <w:rPr>
          <w:rFonts w:asciiTheme="majorBidi" w:hAnsiTheme="majorBidi" w:cstheme="majorBidi"/>
        </w:rPr>
        <w:fldChar w:fldCharType="begin"/>
      </w:r>
      <w:r w:rsidR="00B57F6D">
        <w:rPr>
          <w:rFonts w:asciiTheme="majorBidi" w:hAnsiTheme="majorBidi" w:cstheme="majorBidi"/>
        </w:rPr>
        <w:instrText xml:space="preserve"> ADDIN EN.CITE &lt;EndNote&gt;&lt;Cite&gt;&lt;Author&gt;Nielson&lt;/Author&gt;&lt;Year&gt;2012&lt;/Year&gt;&lt;RecNum&gt;1631&lt;/RecNum&gt;&lt;DisplayText&gt;[9]&lt;/DisplayText&gt;&lt;record&gt;&lt;rec-number&gt;1631&lt;/rec-number&gt;&lt;foreign-keys&gt;&lt;key app="EN" db-id="0szssftsn5vfs8eepaz5ew9hxvx5dsfds9z5" timestamp="1392327695"&gt;1631&lt;/key&gt;&lt;/foreign-keys&gt;&lt;ref-type name="Journal Article"&gt;17&lt;/ref-type&gt;&lt;contributors&gt;&lt;authors&gt;&lt;author&gt;Nielson, Carrie M.&lt;/author&gt;&lt;author&gt;Srikanth, Priya&lt;/author&gt;&lt;author&gt;Orwoll, Eric S.&lt;/author&gt;&lt;/authors&gt;&lt;/contributors&gt;&lt;titles&gt;&lt;title&gt;Obesity and fracture in men and women: An epidemiologic perspective&lt;/title&gt;&lt;secondary-title&gt;Journal of Bone and Mineral Research&lt;/secondary-title&gt;&lt;/titles&gt;&lt;periodical&gt;&lt;full-title&gt;Journal of Bone and Mineral Research&lt;/full-title&gt;&lt;abbr-1&gt;J. Bone Miner. Res.&lt;/abbr-1&gt;&lt;abbr-2&gt;J Bone Miner Res&lt;/abbr-2&gt;&lt;/periodical&gt;&lt;pages&gt;1-10&lt;/pages&gt;&lt;volume&gt;27&lt;/volume&gt;&lt;number&gt;1&lt;/number&gt;&lt;keywords&gt;&lt;keyword&gt;OSTEOPOROSIS&lt;/keyword&gt;&lt;keyword&gt;FRACTURES&lt;/keyword&gt;&lt;keyword&gt;OBESITY&lt;/keyword&gt;&lt;keyword&gt;MEN&lt;/keyword&gt;&lt;/keywords&gt;&lt;dates&gt;&lt;year&gt;2012&lt;/year&gt;&lt;/dates&gt;&lt;publisher&gt;Wiley Subscription Services, Inc., A Wiley Company&lt;/publisher&gt;&lt;isbn&gt;1523-4681&lt;/isbn&gt;&lt;urls&gt;&lt;related-urls&gt;&lt;url&gt;http://dx.doi.org/10.1002/jbmr.1486&lt;/url&gt;&lt;/related-urls&gt;&lt;/urls&gt;&lt;electronic-resource-num&gt;10.1002/jbmr.1486&lt;/electronic-resource-num&gt;&lt;/record&gt;&lt;/Cite&gt;&lt;/EndNote&gt;</w:instrText>
      </w:r>
      <w:r w:rsidR="008B481D" w:rsidRPr="008F2447">
        <w:rPr>
          <w:rFonts w:asciiTheme="majorBidi" w:hAnsiTheme="majorBidi" w:cstheme="majorBidi"/>
        </w:rPr>
        <w:fldChar w:fldCharType="separate"/>
      </w:r>
      <w:r w:rsidR="00B57F6D">
        <w:rPr>
          <w:rFonts w:asciiTheme="majorBidi" w:hAnsiTheme="majorBidi" w:cstheme="majorBidi"/>
          <w:noProof/>
        </w:rPr>
        <w:t>[9]</w:t>
      </w:r>
      <w:r w:rsidR="008B481D" w:rsidRPr="008F2447">
        <w:rPr>
          <w:rFonts w:asciiTheme="majorBidi" w:hAnsiTheme="majorBidi" w:cstheme="majorBidi"/>
        </w:rPr>
        <w:fldChar w:fldCharType="end"/>
      </w:r>
      <w:r w:rsidRPr="008F2447">
        <w:rPr>
          <w:rFonts w:asciiTheme="majorBidi" w:hAnsiTheme="majorBidi" w:cstheme="majorBidi"/>
        </w:rPr>
        <w:t xml:space="preserve">. Moreover, given that </w:t>
      </w:r>
      <w:proofErr w:type="spellStart"/>
      <w:r w:rsidRPr="008F2447">
        <w:rPr>
          <w:rFonts w:asciiTheme="majorBidi" w:hAnsiTheme="majorBidi" w:cstheme="majorBidi"/>
        </w:rPr>
        <w:t>sarcopenia</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dynapenia</w:t>
      </w:r>
      <w:proofErr w:type="spellEnd"/>
      <w:r w:rsidRPr="008F2447">
        <w:rPr>
          <w:rFonts w:asciiTheme="majorBidi" w:hAnsiTheme="majorBidi" w:cstheme="majorBidi"/>
        </w:rPr>
        <w:t xml:space="preserve"> may confer low BMD risk, it is possible that obese individuals with these conditions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or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do not demonstrate BMD equivalent to that of those with obesity alone. Indeed, a previous study has demonstrated that the prevalence of osteoporosis at the femur is two-fold greater in </w:t>
      </w:r>
      <w:proofErr w:type="spellStart"/>
      <w:r w:rsidR="009F08F4" w:rsidRPr="008F2447">
        <w:rPr>
          <w:rFonts w:asciiTheme="majorBidi" w:hAnsiTheme="majorBidi" w:cstheme="majorBidi"/>
        </w:rPr>
        <w:t>sarcopenic</w:t>
      </w:r>
      <w:proofErr w:type="spellEnd"/>
      <w:r w:rsidR="009F08F4" w:rsidRPr="008F2447">
        <w:rPr>
          <w:rFonts w:asciiTheme="majorBidi" w:hAnsiTheme="majorBidi" w:cstheme="majorBidi"/>
        </w:rPr>
        <w:t xml:space="preserve"> obese </w:t>
      </w:r>
      <w:r w:rsidRPr="008F2447">
        <w:rPr>
          <w:rFonts w:asciiTheme="majorBidi" w:hAnsiTheme="majorBidi" w:cstheme="majorBidi"/>
        </w:rPr>
        <w:t xml:space="preserve">compared to </w:t>
      </w:r>
      <w:r w:rsidR="009F08F4" w:rsidRPr="008F2447">
        <w:rPr>
          <w:rFonts w:asciiTheme="majorBidi" w:hAnsiTheme="majorBidi" w:cstheme="majorBidi"/>
        </w:rPr>
        <w:t xml:space="preserve">obese alone </w:t>
      </w:r>
      <w:r w:rsidRPr="008F2447">
        <w:rPr>
          <w:rFonts w:asciiTheme="majorBidi" w:hAnsiTheme="majorBidi" w:cstheme="majorBidi"/>
        </w:rPr>
        <w:t xml:space="preserve">older adults </w:t>
      </w:r>
      <w:r w:rsidR="008B481D" w:rsidRPr="008F2447">
        <w:rPr>
          <w:rFonts w:asciiTheme="majorBidi" w:hAnsiTheme="majorBidi" w:cstheme="majorBidi"/>
        </w:rPr>
        <w:fldChar w:fldCharType="begin"/>
      </w:r>
      <w:r w:rsidR="00B57F6D">
        <w:rPr>
          <w:rFonts w:asciiTheme="majorBidi" w:hAnsiTheme="majorBidi" w:cstheme="majorBidi"/>
        </w:rPr>
        <w:instrText xml:space="preserve"> ADDIN EN.CITE &lt;EndNote&gt;&lt;Cite&gt;&lt;Author&gt;Waters&lt;/Author&gt;&lt;Year&gt;2010&lt;/Year&gt;&lt;RecNum&gt;1001&lt;/RecNum&gt;&lt;DisplayText&gt;[10]&lt;/DisplayText&gt;&lt;record&gt;&lt;rec-number&gt;1001&lt;/rec-number&gt;&lt;foreign-keys&gt;&lt;key app="EN" db-id="0szssftsn5vfs8eepaz5ew9hxvx5dsfds9z5" timestamp="1357098996"&gt;1001&lt;/key&gt;&lt;/foreign-keys&gt;&lt;ref-type name="Journal Article"&gt;17&lt;/ref-type&gt;&lt;contributors&gt;&lt;authors&gt;&lt;author&gt;Waters, DL&lt;/author&gt;&lt;author&gt;Hale, L.&lt;/author&gt;&lt;author&gt;Grant, AM&lt;/author&gt;&lt;author&gt;Herbison, P.&lt;/author&gt;&lt;author&gt;Goulding, A.&lt;/author&gt;&lt;/authors&gt;&lt;/contributors&gt;&lt;titles&gt;&lt;title&gt;Osteoporosis and gait and balance disturbances in older sarcopenic obese New Zealanders&lt;/title&gt;&lt;secondary-title&gt;Osteoporosis International&lt;/secondary-title&gt;&lt;/titles&gt;&lt;periodical&gt;&lt;full-title&gt;Osteoporosis International&lt;/full-title&gt;&lt;abbr-1&gt;Osteoporos. Int.&lt;/abbr-1&gt;&lt;abbr-2&gt;Osteoporos Int&lt;/abbr-2&gt;&lt;/periodical&gt;&lt;pages&gt;351-357&lt;/pages&gt;&lt;volume&gt;21&lt;/volume&gt;&lt;number&gt;2&lt;/number&gt;&lt;dates&gt;&lt;year&gt;2010&lt;/year&gt;&lt;/dates&gt;&lt;isbn&gt;0937-941X&lt;/isbn&gt;&lt;urls&gt;&lt;/urls&gt;&lt;/record&gt;&lt;/Cite&gt;&lt;/EndNote&gt;</w:instrText>
      </w:r>
      <w:r w:rsidR="008B481D" w:rsidRPr="008F2447">
        <w:rPr>
          <w:rFonts w:asciiTheme="majorBidi" w:hAnsiTheme="majorBidi" w:cstheme="majorBidi"/>
        </w:rPr>
        <w:fldChar w:fldCharType="separate"/>
      </w:r>
      <w:r w:rsidR="00B57F6D">
        <w:rPr>
          <w:rFonts w:asciiTheme="majorBidi" w:hAnsiTheme="majorBidi" w:cstheme="majorBidi"/>
          <w:noProof/>
        </w:rPr>
        <w:t>[10]</w:t>
      </w:r>
      <w:r w:rsidR="008B481D" w:rsidRPr="008F2447">
        <w:rPr>
          <w:rFonts w:asciiTheme="majorBidi" w:hAnsiTheme="majorBidi" w:cstheme="majorBidi"/>
        </w:rPr>
        <w:fldChar w:fldCharType="end"/>
      </w:r>
      <w:r w:rsidRPr="008F2447">
        <w:rPr>
          <w:rFonts w:asciiTheme="majorBidi" w:hAnsiTheme="majorBidi" w:cstheme="majorBidi"/>
        </w:rPr>
        <w:t xml:space="preserve">, although no previous study has examined associations of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and BMD. This is relevant given that we recently reported that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but not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is associated with significant increases in risk factors for falls </w:t>
      </w:r>
      <w:r w:rsidR="008B481D" w:rsidRPr="008F2447">
        <w:rPr>
          <w:rFonts w:asciiTheme="majorBidi" w:hAnsiTheme="majorBidi" w:cstheme="majorBidi"/>
        </w:rPr>
        <w:fldChar w:fldCharType="begin"/>
      </w:r>
      <w:r w:rsidR="00B57F6D">
        <w:rPr>
          <w:rFonts w:asciiTheme="majorBidi" w:hAnsiTheme="majorBidi" w:cstheme="majorBidi"/>
        </w:rPr>
        <w:instrText xml:space="preserve"> ADDIN EN.CITE &lt;EndNote&gt;&lt;Cite&gt;&lt;Author&gt;Scott&lt;/Author&gt;&lt;Year&gt;2014&lt;/Year&gt;&lt;RecNum&gt;1229&lt;/RecNum&gt;&lt;DisplayText&gt;[11]&lt;/DisplayText&gt;&lt;record&gt;&lt;rec-number&gt;1229&lt;/rec-number&gt;&lt;foreign-keys&gt;&lt;key app="EN" db-id="0szssftsn5vfs8eepaz5ew9hxvx5dsfds9z5" timestamp="1374210174"&gt;1229&lt;/key&gt;&lt;/foreign-keys&gt;&lt;ref-type name="Journal Article"&gt;17&lt;/ref-type&gt;&lt;contributors&gt;&lt;authors&gt;&lt;author&gt;Scott, D&lt;/author&gt;&lt;author&gt;Sanders, K.&lt;/author&gt;&lt;author&gt;Aitken, D&lt;/author&gt;&lt;author&gt;Hayes, A&lt;/author&gt;&lt;author&gt;Ebeling, P.R.&lt;/author&gt;&lt;author&gt;Jones, G&lt;/author&gt;&lt;/authors&gt;&lt;/contributors&gt;&lt;titles&gt;&lt;title&gt;Sarcopenic obesity and dynapenic obesity: 5-year associations with falls risk in middle-aged and older adults&lt;/title&gt;&lt;secondary-title&gt;Obesity&lt;/secondary-title&gt;&lt;/titles&gt;&lt;periodical&gt;&lt;full-title&gt;Obesity&lt;/full-title&gt;&lt;abbr-1&gt;Obesity&lt;/abbr-1&gt;&lt;abbr-2&gt;Obesity&lt;/abbr-2&gt;&lt;/periodical&gt;&lt;pages&gt;1568-1574&lt;/pages&gt;&lt;volume&gt;22&lt;/volume&gt;&lt;number&gt;6&lt;/number&gt;&lt;dates&gt;&lt;year&gt;2014&lt;/year&gt;&lt;/dates&gt;&lt;urls&gt;&lt;/urls&gt;&lt;/record&gt;&lt;/Cite&gt;&lt;/EndNote&gt;</w:instrText>
      </w:r>
      <w:r w:rsidR="008B481D" w:rsidRPr="008F2447">
        <w:rPr>
          <w:rFonts w:asciiTheme="majorBidi" w:hAnsiTheme="majorBidi" w:cstheme="majorBidi"/>
        </w:rPr>
        <w:fldChar w:fldCharType="separate"/>
      </w:r>
      <w:r w:rsidR="00B57F6D">
        <w:rPr>
          <w:rFonts w:asciiTheme="majorBidi" w:hAnsiTheme="majorBidi" w:cstheme="majorBidi"/>
          <w:noProof/>
        </w:rPr>
        <w:t>[11]</w:t>
      </w:r>
      <w:r w:rsidR="008B481D" w:rsidRPr="008F2447">
        <w:rPr>
          <w:rFonts w:asciiTheme="majorBidi" w:hAnsiTheme="majorBidi" w:cstheme="majorBidi"/>
        </w:rPr>
        <w:fldChar w:fldCharType="end"/>
      </w:r>
      <w:r w:rsidRPr="008F2447">
        <w:rPr>
          <w:rFonts w:asciiTheme="majorBidi" w:hAnsiTheme="majorBidi" w:cstheme="majorBidi"/>
        </w:rPr>
        <w:t xml:space="preserve">, and so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may confer a greater fracture risk in older adults than does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The aim of the present study was to determine whether baseline BMD, its change over five years, or self-reported fracture </w:t>
      </w:r>
      <w:r w:rsidRPr="008F2447">
        <w:rPr>
          <w:rFonts w:asciiTheme="majorBidi" w:hAnsiTheme="majorBidi" w:cstheme="majorBidi"/>
        </w:rPr>
        <w:lastRenderedPageBreak/>
        <w:t xml:space="preserve">rates over 10-years, are significantly different in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older adults compared with obese and non-obese older adults without </w:t>
      </w:r>
      <w:proofErr w:type="spellStart"/>
      <w:r w:rsidRPr="008F2447">
        <w:rPr>
          <w:rFonts w:asciiTheme="majorBidi" w:hAnsiTheme="majorBidi" w:cstheme="majorBidi"/>
        </w:rPr>
        <w:t>sarcopenia</w:t>
      </w:r>
      <w:proofErr w:type="spellEnd"/>
      <w:r w:rsidRPr="008F2447">
        <w:rPr>
          <w:rFonts w:asciiTheme="majorBidi" w:hAnsiTheme="majorBidi" w:cstheme="majorBidi"/>
        </w:rPr>
        <w:t xml:space="preserve"> or </w:t>
      </w:r>
      <w:proofErr w:type="spellStart"/>
      <w:r w:rsidRPr="008F2447">
        <w:rPr>
          <w:rFonts w:asciiTheme="majorBidi" w:hAnsiTheme="majorBidi" w:cstheme="majorBidi"/>
        </w:rPr>
        <w:t>dynapenia</w:t>
      </w:r>
      <w:proofErr w:type="spellEnd"/>
      <w:r w:rsidRPr="008F2447">
        <w:rPr>
          <w:rFonts w:asciiTheme="majorBidi" w:hAnsiTheme="majorBidi" w:cstheme="majorBidi"/>
        </w:rPr>
        <w:t xml:space="preserve">. </w:t>
      </w:r>
    </w:p>
    <w:p w14:paraId="4BBC8658" w14:textId="77777777" w:rsidR="00575EFD" w:rsidRPr="008F2447" w:rsidRDefault="00944A64">
      <w:pPr>
        <w:rPr>
          <w:rFonts w:asciiTheme="majorBidi" w:hAnsiTheme="majorBidi" w:cstheme="majorBidi"/>
          <w:b/>
          <w:bCs/>
        </w:rPr>
      </w:pPr>
      <w:r w:rsidRPr="008F2447">
        <w:rPr>
          <w:rFonts w:asciiTheme="majorBidi" w:hAnsiTheme="majorBidi" w:cstheme="majorBidi"/>
          <w:b/>
          <w:bCs/>
        </w:rPr>
        <w:br w:type="page"/>
      </w:r>
    </w:p>
    <w:p w14:paraId="1A7AB5B6" w14:textId="77777777" w:rsidR="00575EFD" w:rsidRPr="008F2447" w:rsidRDefault="00944A64">
      <w:pPr>
        <w:spacing w:line="480" w:lineRule="auto"/>
        <w:rPr>
          <w:rFonts w:asciiTheme="majorBidi" w:hAnsiTheme="majorBidi" w:cstheme="majorBidi"/>
          <w:b/>
          <w:bCs/>
        </w:rPr>
      </w:pPr>
      <w:r w:rsidRPr="008F2447">
        <w:rPr>
          <w:rFonts w:asciiTheme="majorBidi" w:hAnsiTheme="majorBidi" w:cstheme="majorBidi"/>
          <w:b/>
          <w:bCs/>
        </w:rPr>
        <w:lastRenderedPageBreak/>
        <w:t>Methods</w:t>
      </w:r>
    </w:p>
    <w:p w14:paraId="7099D57D" w14:textId="77777777" w:rsidR="00575EFD" w:rsidRPr="008F2447" w:rsidRDefault="00944A64">
      <w:pPr>
        <w:spacing w:line="480" w:lineRule="auto"/>
        <w:rPr>
          <w:rFonts w:asciiTheme="majorBidi" w:hAnsiTheme="majorBidi" w:cstheme="majorBidi"/>
          <w:b/>
          <w:bCs/>
          <w:i/>
          <w:iCs/>
        </w:rPr>
      </w:pPr>
      <w:r w:rsidRPr="008F2447">
        <w:rPr>
          <w:rFonts w:asciiTheme="majorBidi" w:hAnsiTheme="majorBidi" w:cstheme="majorBidi"/>
          <w:b/>
          <w:bCs/>
          <w:i/>
          <w:iCs/>
        </w:rPr>
        <w:t>Study Design and Participants</w:t>
      </w:r>
    </w:p>
    <w:p w14:paraId="58A01C76" w14:textId="3DAD62B2" w:rsidR="00575EFD" w:rsidRPr="008F2447" w:rsidRDefault="00944A64" w:rsidP="00E1169D">
      <w:pPr>
        <w:spacing w:line="480" w:lineRule="auto"/>
        <w:ind w:firstLine="720"/>
        <w:rPr>
          <w:rFonts w:asciiTheme="majorBidi" w:hAnsiTheme="majorBidi" w:cstheme="majorBidi"/>
        </w:rPr>
      </w:pPr>
      <w:r w:rsidRPr="008F2447">
        <w:rPr>
          <w:rFonts w:asciiTheme="majorBidi" w:hAnsiTheme="majorBidi" w:cstheme="majorBidi"/>
        </w:rPr>
        <w:t xml:space="preserve">This study was conducted within the Tasmanian Older Adult Cohort Study (TASOAC), a prospective population-based study that consisted of 1,100 males and females </w:t>
      </w:r>
      <w:r w:rsidR="00E1169D">
        <w:rPr>
          <w:rFonts w:asciiTheme="majorBidi" w:hAnsiTheme="majorBidi" w:cstheme="majorBidi"/>
        </w:rPr>
        <w:t>(98% Caucasian)</w:t>
      </w:r>
      <w:r w:rsidR="00E1169D" w:rsidRPr="008F2447">
        <w:rPr>
          <w:rFonts w:asciiTheme="majorBidi" w:hAnsiTheme="majorBidi" w:cstheme="majorBidi"/>
        </w:rPr>
        <w:t xml:space="preserve"> </w:t>
      </w:r>
      <w:r w:rsidRPr="008F2447">
        <w:rPr>
          <w:rFonts w:asciiTheme="majorBidi" w:hAnsiTheme="majorBidi" w:cstheme="majorBidi"/>
        </w:rPr>
        <w:t>aged 50-79 years at baseline. Participants were selected from electoral rolls in southern Tasmania (population 229,000) using stratified simple random sampling by sex without replacement (response rate 57%). The Southern Tasmanian Health and Medical Human Research Ethics Committee approved the study, and written informed consent was obtained from all participants. Participants who had a contraindication for MRI and those that were institutionalised were excluded. Participants attended a baseline clinic between March 2002 and September 2004, and were invited to attend a follow-up clinic five to six years after the baseline visit. Participants also self-reported fractures at this follow-up clinic, as well as at study assessments conducted approximately two to three and 10 to 12 years after baseline.</w:t>
      </w:r>
    </w:p>
    <w:p w14:paraId="1170C50B" w14:textId="77777777" w:rsidR="00575EFD" w:rsidRPr="008F2447" w:rsidRDefault="00575EFD">
      <w:pPr>
        <w:spacing w:line="480" w:lineRule="auto"/>
        <w:rPr>
          <w:rFonts w:asciiTheme="majorBidi" w:hAnsiTheme="majorBidi" w:cstheme="majorBidi"/>
          <w:u w:val="single"/>
        </w:rPr>
      </w:pPr>
    </w:p>
    <w:p w14:paraId="2E43F93C" w14:textId="77777777" w:rsidR="00575EFD" w:rsidRPr="008F2447" w:rsidRDefault="00944A64">
      <w:pPr>
        <w:spacing w:line="480" w:lineRule="auto"/>
        <w:rPr>
          <w:rFonts w:asciiTheme="majorBidi" w:hAnsiTheme="majorBidi" w:cstheme="majorBidi"/>
          <w:b/>
          <w:bCs/>
          <w:i/>
          <w:iCs/>
        </w:rPr>
      </w:pPr>
      <w:r w:rsidRPr="008F2447">
        <w:rPr>
          <w:rFonts w:asciiTheme="majorBidi" w:hAnsiTheme="majorBidi" w:cstheme="majorBidi"/>
          <w:b/>
          <w:bCs/>
          <w:i/>
          <w:iCs/>
        </w:rPr>
        <w:t>Measurements</w:t>
      </w:r>
    </w:p>
    <w:p w14:paraId="00BD3C28" w14:textId="1984F8AB" w:rsidR="00575EFD" w:rsidRPr="00BD5C93" w:rsidRDefault="00944A64" w:rsidP="001311D5">
      <w:pPr>
        <w:spacing w:line="480" w:lineRule="auto"/>
        <w:ind w:firstLine="720"/>
        <w:rPr>
          <w:rFonts w:asciiTheme="majorBidi" w:hAnsiTheme="majorBidi" w:cstheme="majorBidi"/>
          <w:lang w:val="en-AU"/>
        </w:rPr>
      </w:pPr>
      <w:r w:rsidRPr="008F2447">
        <w:rPr>
          <w:rFonts w:asciiTheme="majorBidi" w:hAnsiTheme="majorBidi" w:cstheme="majorBidi"/>
        </w:rPr>
        <w:t xml:space="preserve">At baseline and five-year follow-up clinic visits, height was measured to the nearest 0.1 cm using a Leicester </w:t>
      </w:r>
      <w:proofErr w:type="spellStart"/>
      <w:r w:rsidRPr="008F2447">
        <w:rPr>
          <w:rFonts w:asciiTheme="majorBidi" w:hAnsiTheme="majorBidi" w:cstheme="majorBidi"/>
        </w:rPr>
        <w:t>stadiometer</w:t>
      </w:r>
      <w:proofErr w:type="spellEnd"/>
      <w:r w:rsidRPr="008F2447">
        <w:rPr>
          <w:rFonts w:asciiTheme="majorBidi" w:hAnsiTheme="majorBidi" w:cstheme="majorBidi"/>
        </w:rPr>
        <w:t xml:space="preserve"> (Invicta, Leicester, UK). Weight was measured to the nearest 0.1 kg using electronic scales (Heine, Dover, USA). Body mass index (BMI; kg/m</w:t>
      </w:r>
      <w:r w:rsidRPr="008F2447">
        <w:rPr>
          <w:rFonts w:asciiTheme="majorBidi" w:hAnsiTheme="majorBidi" w:cstheme="majorBidi"/>
          <w:vertAlign w:val="superscript"/>
        </w:rPr>
        <w:t>2</w:t>
      </w:r>
      <w:r w:rsidRPr="008F2447">
        <w:rPr>
          <w:rFonts w:asciiTheme="majorBidi" w:hAnsiTheme="majorBidi" w:cstheme="majorBidi"/>
        </w:rPr>
        <w:t>) was calculated. Waist circumference was measured using a constant tension tape. Participants completed a questionnaire investigating employment and smoking status, and co-morbidities including cardiovascular disease, diabetes and other major illness.</w:t>
      </w:r>
      <w:r w:rsidR="00E1169D">
        <w:rPr>
          <w:rFonts w:asciiTheme="majorBidi" w:hAnsiTheme="majorBidi" w:cstheme="majorBidi"/>
        </w:rPr>
        <w:t xml:space="preserve"> </w:t>
      </w:r>
      <w:r w:rsidR="00DA751C">
        <w:rPr>
          <w:rFonts w:asciiTheme="majorBidi" w:hAnsiTheme="majorBidi" w:cstheme="majorBidi"/>
          <w:lang w:val="en-AU"/>
        </w:rPr>
        <w:t>A</w:t>
      </w:r>
      <w:r w:rsidR="001311D5">
        <w:rPr>
          <w:rFonts w:asciiTheme="majorBidi" w:hAnsiTheme="majorBidi" w:cstheme="majorBidi"/>
          <w:lang w:val="en-AU"/>
        </w:rPr>
        <w:t xml:space="preserve"> </w:t>
      </w:r>
      <w:r w:rsidR="00DA751C">
        <w:rPr>
          <w:rFonts w:asciiTheme="majorBidi" w:hAnsiTheme="majorBidi" w:cstheme="majorBidi"/>
          <w:lang w:val="en-AU"/>
        </w:rPr>
        <w:t>c</w:t>
      </w:r>
      <w:proofErr w:type="spellStart"/>
      <w:r w:rsidR="00E1169D">
        <w:rPr>
          <w:rFonts w:asciiTheme="majorBidi" w:hAnsiTheme="majorBidi" w:cstheme="majorBidi"/>
        </w:rPr>
        <w:t>omorbidity</w:t>
      </w:r>
      <w:proofErr w:type="spellEnd"/>
      <w:r w:rsidR="00E1169D">
        <w:rPr>
          <w:rFonts w:asciiTheme="majorBidi" w:hAnsiTheme="majorBidi" w:cstheme="majorBidi"/>
        </w:rPr>
        <w:t xml:space="preserve"> </w:t>
      </w:r>
      <w:proofErr w:type="spellStart"/>
      <w:r w:rsidR="00E1169D">
        <w:rPr>
          <w:rFonts w:asciiTheme="majorBidi" w:hAnsiTheme="majorBidi" w:cstheme="majorBidi"/>
        </w:rPr>
        <w:t>scor</w:t>
      </w:r>
      <w:r w:rsidR="00423EF3">
        <w:rPr>
          <w:rFonts w:asciiTheme="majorBidi" w:hAnsiTheme="majorBidi" w:cstheme="majorBidi"/>
          <w:lang w:val="en-AU"/>
        </w:rPr>
        <w:t>e</w:t>
      </w:r>
      <w:proofErr w:type="spellEnd"/>
      <w:r w:rsidR="00423EF3">
        <w:rPr>
          <w:rFonts w:asciiTheme="majorBidi" w:hAnsiTheme="majorBidi" w:cstheme="majorBidi"/>
          <w:lang w:val="en-AU"/>
        </w:rPr>
        <w:t xml:space="preserve"> was calculated as the total number of </w:t>
      </w:r>
      <w:proofErr w:type="spellStart"/>
      <w:r w:rsidR="00423EF3">
        <w:rPr>
          <w:rFonts w:asciiTheme="majorBidi" w:hAnsiTheme="majorBidi" w:cstheme="majorBidi"/>
          <w:lang w:val="en-AU"/>
        </w:rPr>
        <w:t>self reported</w:t>
      </w:r>
      <w:proofErr w:type="spellEnd"/>
      <w:r w:rsidR="00423EF3">
        <w:rPr>
          <w:rFonts w:asciiTheme="majorBidi" w:hAnsiTheme="majorBidi" w:cstheme="majorBidi"/>
          <w:lang w:val="en-AU"/>
        </w:rPr>
        <w:t xml:space="preserve"> comorbidities</w:t>
      </w:r>
      <w:r w:rsidR="001311D5">
        <w:rPr>
          <w:rFonts w:asciiTheme="majorBidi" w:hAnsiTheme="majorBidi" w:cstheme="majorBidi"/>
          <w:lang w:val="en-AU"/>
        </w:rPr>
        <w:t xml:space="preserve"> from a specified list. We have previously reported that the total number of comorbidities is increased in </w:t>
      </w:r>
      <w:proofErr w:type="spellStart"/>
      <w:r w:rsidR="001311D5">
        <w:rPr>
          <w:rFonts w:asciiTheme="majorBidi" w:hAnsiTheme="majorBidi" w:cstheme="majorBidi"/>
          <w:lang w:val="en-AU"/>
        </w:rPr>
        <w:t>sarcopenic</w:t>
      </w:r>
      <w:proofErr w:type="spellEnd"/>
      <w:r w:rsidR="001311D5">
        <w:rPr>
          <w:rFonts w:asciiTheme="majorBidi" w:hAnsiTheme="majorBidi" w:cstheme="majorBidi"/>
          <w:lang w:val="en-AU"/>
        </w:rPr>
        <w:t xml:space="preserve"> and </w:t>
      </w:r>
      <w:proofErr w:type="spellStart"/>
      <w:r w:rsidR="001311D5">
        <w:rPr>
          <w:rFonts w:asciiTheme="majorBidi" w:hAnsiTheme="majorBidi" w:cstheme="majorBidi"/>
          <w:lang w:val="en-AU"/>
        </w:rPr>
        <w:t>dynapenic</w:t>
      </w:r>
      <w:proofErr w:type="spellEnd"/>
      <w:r w:rsidR="001311D5">
        <w:rPr>
          <w:rFonts w:asciiTheme="majorBidi" w:hAnsiTheme="majorBidi" w:cstheme="majorBidi"/>
          <w:lang w:val="en-AU"/>
        </w:rPr>
        <w:t xml:space="preserve"> obesity </w:t>
      </w:r>
      <w:r w:rsidR="001311D5">
        <w:rPr>
          <w:rFonts w:asciiTheme="majorBidi" w:hAnsiTheme="majorBidi" w:cstheme="majorBidi"/>
          <w:lang w:val="en-AU"/>
        </w:rPr>
        <w:fldChar w:fldCharType="begin"/>
      </w:r>
      <w:r w:rsidR="001311D5">
        <w:rPr>
          <w:rFonts w:asciiTheme="majorBidi" w:hAnsiTheme="majorBidi" w:cstheme="majorBidi"/>
          <w:lang w:val="en-AU"/>
        </w:rPr>
        <w:instrText xml:space="preserve"> ADDIN EN.CITE &lt;EndNote&gt;&lt;Cite&gt;&lt;Author&gt;Scott&lt;/Author&gt;&lt;Year&gt;2014&lt;/Year&gt;&lt;RecNum&gt;1229&lt;/RecNum&gt;&lt;DisplayText&gt;[11]&lt;/DisplayText&gt;&lt;record&gt;&lt;rec-number&gt;1229&lt;/rec-number&gt;&lt;foreign-keys&gt;&lt;key app="EN" db-id="0szssftsn5vfs8eepaz5ew9hxvx5dsfds9z5" timestamp="1374210174"&gt;1229&lt;/key&gt;&lt;/foreign-keys&gt;&lt;ref-type name="Journal Article"&gt;17&lt;/ref-type&gt;&lt;contributors&gt;&lt;authors&gt;&lt;author&gt;Scott, D&lt;/author&gt;&lt;author&gt;Sanders, K.&lt;/author&gt;&lt;author&gt;Aitken, D&lt;/author&gt;&lt;author&gt;Hayes, A&lt;/author&gt;&lt;author&gt;Ebeling, P.R.&lt;/author&gt;&lt;author&gt;Jones, G&lt;/author&gt;&lt;/authors&gt;&lt;/contributors&gt;&lt;titles&gt;&lt;title&gt;Sarcopenic obesity and dynapenic obesity: 5-year associations with falls risk in middle-aged and older adults&lt;/title&gt;&lt;secondary-title&gt;Obesity&lt;/secondary-title&gt;&lt;/titles&gt;&lt;periodical&gt;&lt;full-title&gt;Obesity&lt;/full-title&gt;&lt;abbr-1&gt;Obesity&lt;/abbr-1&gt;&lt;abbr-2&gt;Obesity&lt;/abbr-2&gt;&lt;/periodical&gt;&lt;pages&gt;1568-1574&lt;/pages&gt;&lt;volume&gt;22&lt;/volume&gt;&lt;number&gt;6&lt;/number&gt;&lt;dates&gt;&lt;year&gt;2014&lt;/year&gt;&lt;/dates&gt;&lt;urls&gt;&lt;/urls&gt;&lt;/record&gt;&lt;/Cite&gt;&lt;/EndNote&gt;</w:instrText>
      </w:r>
      <w:r w:rsidR="001311D5">
        <w:rPr>
          <w:rFonts w:asciiTheme="majorBidi" w:hAnsiTheme="majorBidi" w:cstheme="majorBidi"/>
          <w:lang w:val="en-AU"/>
        </w:rPr>
        <w:fldChar w:fldCharType="separate"/>
      </w:r>
      <w:r w:rsidR="001311D5">
        <w:rPr>
          <w:rFonts w:asciiTheme="majorBidi" w:hAnsiTheme="majorBidi" w:cstheme="majorBidi"/>
          <w:noProof/>
          <w:lang w:val="en-AU"/>
        </w:rPr>
        <w:t>[11]</w:t>
      </w:r>
      <w:r w:rsidR="001311D5">
        <w:rPr>
          <w:rFonts w:asciiTheme="majorBidi" w:hAnsiTheme="majorBidi" w:cstheme="majorBidi"/>
          <w:lang w:val="en-AU"/>
        </w:rPr>
        <w:fldChar w:fldCharType="end"/>
      </w:r>
      <w:r w:rsidR="00BD5C93">
        <w:rPr>
          <w:rFonts w:asciiTheme="majorBidi" w:hAnsiTheme="majorBidi" w:cstheme="majorBidi"/>
        </w:rPr>
        <w:t>.</w:t>
      </w:r>
      <w:r w:rsidRPr="008F2447">
        <w:rPr>
          <w:rFonts w:asciiTheme="majorBidi" w:hAnsiTheme="majorBidi" w:cstheme="majorBidi"/>
        </w:rPr>
        <w:t xml:space="preserve"> Participants were also asked about the presence of pain at different body sites</w:t>
      </w:r>
      <w:r w:rsidR="00E1169D">
        <w:rPr>
          <w:rFonts w:asciiTheme="majorBidi" w:hAnsiTheme="majorBidi" w:cstheme="majorBidi"/>
        </w:rPr>
        <w:t xml:space="preserve"> </w:t>
      </w:r>
      <w:r w:rsidR="00E1169D">
        <w:rPr>
          <w:rFonts w:asciiTheme="majorBidi" w:hAnsiTheme="majorBidi" w:cstheme="majorBidi"/>
        </w:rPr>
        <w:fldChar w:fldCharType="begin"/>
      </w:r>
      <w:r w:rsidR="00E1169D">
        <w:rPr>
          <w:rFonts w:asciiTheme="majorBidi" w:hAnsiTheme="majorBidi" w:cstheme="majorBidi"/>
        </w:rPr>
        <w:instrText xml:space="preserve"> ADDIN EN.CITE &lt;EndNote&gt;&lt;Cite&gt;&lt;Author&gt;Scott&lt;/Author&gt;&lt;Year&gt;2012&lt;/Year&gt;&lt;RecNum&gt;695&lt;/RecNum&gt;&lt;DisplayText&gt;[12]&lt;/DisplayText&gt;&lt;record&gt;&lt;rec-number&gt;695&lt;/rec-number&gt;&lt;foreign-keys&gt;&lt;key app="EN" db-id="0szssftsn5vfs8eepaz5ew9hxvx5dsfds9z5" timestamp="1300686408"&gt;695&lt;/key&gt;&lt;/foreign-keys&gt;&lt;ref-type name="Journal Article"&gt;17&lt;/ref-type&gt;&lt;contributors&gt;&lt;authors&gt;&lt;author&gt;Scott, D&lt;/author&gt;&lt;author&gt;Blizzard, L&lt;/author&gt;&lt;author&gt;Fell, J&lt;/author&gt;&lt;author&gt;Jones, G&lt;/author&gt;&lt;/authors&gt;&lt;/contributors&gt;&lt;titles&gt;&lt;title&gt;Prospective study of self-reported pain, radiographic osteoarthritis, sarcopenia progression, and falls risk in community-dwelling older adults&lt;/title&gt;&lt;secondary-title&gt;Arthritis Care and Research&lt;/secondary-title&gt;&lt;/titles&gt;&lt;periodical&gt;&lt;full-title&gt;Arthritis Care and Research&lt;/full-title&gt;&lt;abbr-1&gt;Arthritis Care Res.&lt;/abbr-1&gt;&lt;abbr-2&gt;Arthritis Care Res&lt;/abbr-2&gt;&lt;/periodical&gt;&lt;pages&gt;30-37&lt;/pages&gt;&lt;volume&gt;64&lt;/volume&gt;&lt;number&gt;1&lt;/number&gt;&lt;dates&gt;&lt;year&gt;2012&lt;/year&gt;&lt;/dates&gt;&lt;urls&gt;&lt;/urls&gt;&lt;/record&gt;&lt;/Cite&gt;&lt;/EndNote&gt;</w:instrText>
      </w:r>
      <w:r w:rsidR="00E1169D">
        <w:rPr>
          <w:rFonts w:asciiTheme="majorBidi" w:hAnsiTheme="majorBidi" w:cstheme="majorBidi"/>
        </w:rPr>
        <w:fldChar w:fldCharType="separate"/>
      </w:r>
      <w:r w:rsidR="00E1169D">
        <w:rPr>
          <w:rFonts w:asciiTheme="majorBidi" w:hAnsiTheme="majorBidi" w:cstheme="majorBidi"/>
          <w:noProof/>
        </w:rPr>
        <w:t>[12]</w:t>
      </w:r>
      <w:r w:rsidR="00E1169D">
        <w:rPr>
          <w:rFonts w:asciiTheme="majorBidi" w:hAnsiTheme="majorBidi" w:cstheme="majorBidi"/>
        </w:rPr>
        <w:fldChar w:fldCharType="end"/>
      </w:r>
      <w:r w:rsidRPr="008F2447">
        <w:rPr>
          <w:rFonts w:asciiTheme="majorBidi" w:hAnsiTheme="majorBidi" w:cstheme="majorBidi"/>
        </w:rPr>
        <w:t xml:space="preserve">. A validated Food Frequency Questionnaire </w:t>
      </w:r>
      <w:r w:rsidR="008B481D" w:rsidRPr="008F2447">
        <w:rPr>
          <w:rFonts w:asciiTheme="majorBidi" w:hAnsiTheme="majorBidi" w:cstheme="majorBidi"/>
        </w:rPr>
        <w:fldChar w:fldCharType="begin"/>
      </w:r>
      <w:r w:rsidR="00E1169D">
        <w:rPr>
          <w:rFonts w:asciiTheme="majorBidi" w:hAnsiTheme="majorBidi" w:cstheme="majorBidi"/>
        </w:rPr>
        <w:instrText xml:space="preserve"> ADDIN EN.CITE &lt;EndNote&gt;&lt;Cite&gt;&lt;Author&gt;Hodge&lt;/Author&gt;&lt;Year&gt;2000&lt;/Year&gt;&lt;RecNum&gt;238&lt;/RecNum&gt;&lt;DisplayText&gt;[13]&lt;/DisplayText&gt;&lt;record&gt;&lt;rec-number&gt;238&lt;/rec-number&gt;&lt;foreign-keys&gt;&lt;key app="EN" db-id="0szssftsn5vfs8eepaz5ew9hxvx5dsfds9z5" timestamp="0"&gt;238&lt;/key&gt;&lt;/foreign-keys&gt;&lt;ref-type name="Journal Article"&gt;17&lt;/ref-type&gt;&lt;contributors&gt;&lt;authors&gt;&lt;author&gt;Hodge, A&lt;/author&gt;&lt;author&gt;Patterson, A J&lt;/author&gt;&lt;author&gt;Brown, W J&lt;/author&gt;&lt;author&gt;Ireland, P&lt;/author&gt;&lt;author&gt;Giles, G&lt;/author&gt;&lt;/authors&gt;&lt;/contributors&gt;&lt;titles&gt;&lt;title&gt;The Anti Cancer Council of Victoria FFQ: Relative validity of nutrient intakes compared with weighed food records in young to middle-aged women in a study of iron supplementation&lt;/title&gt;&lt;secondary-title&gt;Australian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periodical&gt;&lt;pages&gt;576-583&lt;/pages&gt;&lt;volume&gt;24&lt;/volume&gt;&lt;number&gt;6&lt;/number&gt;&lt;dates&gt;&lt;year&gt;2000&lt;/year&gt;&lt;/dates&gt;&lt;urls&gt;&lt;pdf-urls&gt;&lt;url&gt;file:///C:/Documents%20and%20Settings/dsscott/Desktop/PhD/Sarcopenia%20Articles/Hodge2009.pdf&lt;/url&gt;&lt;/pdf-urls&gt;&lt;/urls&gt;&lt;/record&gt;&lt;/Cite&gt;&lt;/EndNote&gt;</w:instrText>
      </w:r>
      <w:r w:rsidR="008B481D" w:rsidRPr="008F2447">
        <w:rPr>
          <w:rFonts w:asciiTheme="majorBidi" w:hAnsiTheme="majorBidi" w:cstheme="majorBidi"/>
        </w:rPr>
        <w:fldChar w:fldCharType="separate"/>
      </w:r>
      <w:r w:rsidR="00E1169D">
        <w:rPr>
          <w:rFonts w:asciiTheme="majorBidi" w:hAnsiTheme="majorBidi" w:cstheme="majorBidi"/>
          <w:noProof/>
        </w:rPr>
        <w:t>[13]</w:t>
      </w:r>
      <w:r w:rsidR="008B481D" w:rsidRPr="008F2447">
        <w:rPr>
          <w:rFonts w:asciiTheme="majorBidi" w:hAnsiTheme="majorBidi" w:cstheme="majorBidi"/>
        </w:rPr>
        <w:fldChar w:fldCharType="end"/>
      </w:r>
      <w:r w:rsidRPr="008F2447">
        <w:rPr>
          <w:rFonts w:asciiTheme="majorBidi" w:hAnsiTheme="majorBidi" w:cstheme="majorBidi"/>
        </w:rPr>
        <w:t xml:space="preserve"> investigated dietary energy </w:t>
      </w:r>
      <w:r w:rsidRPr="008F2447">
        <w:rPr>
          <w:rFonts w:asciiTheme="majorBidi" w:hAnsiTheme="majorBidi" w:cstheme="majorBidi"/>
        </w:rPr>
        <w:lastRenderedPageBreak/>
        <w:t xml:space="preserve">and alcohol intake and a 7-day pedometer assessment determined physical activity levels as described previously </w:t>
      </w:r>
      <w:r w:rsidR="008B481D" w:rsidRPr="008F2447">
        <w:rPr>
          <w:rFonts w:asciiTheme="majorBidi" w:hAnsiTheme="majorBidi" w:cstheme="majorBidi"/>
        </w:rPr>
        <w:fldChar w:fldCharType="begin"/>
      </w:r>
      <w:r w:rsidR="00E1169D">
        <w:rPr>
          <w:rFonts w:asciiTheme="majorBidi" w:hAnsiTheme="majorBidi" w:cstheme="majorBidi"/>
        </w:rPr>
        <w:instrText xml:space="preserve"> ADDIN EN.CITE &lt;EndNote&gt;&lt;Cite&gt;&lt;Author&gt;Scott&lt;/Author&gt;&lt;Year&gt;2009&lt;/Year&gt;&lt;RecNum&gt;214&lt;/RecNum&gt;&lt;DisplayText&gt;[14]&lt;/DisplayText&gt;&lt;record&gt;&lt;rec-number&gt;214&lt;/rec-number&gt;&lt;foreign-keys&gt;&lt;key app="EN" db-id="0szssftsn5vfs8eepaz5ew9hxvx5dsfds9z5" timestamp="0"&gt;214&lt;/key&gt;&lt;/foreign-keys&gt;&lt;ref-type name="Journal Article"&gt;17&lt;/ref-type&gt;&lt;contributors&gt;&lt;authors&gt;&lt;author&gt;Scott, D&lt;/author&gt;&lt;author&gt;Blizzard, L&lt;/author&gt;&lt;author&gt;Fell, J&lt;/author&gt;&lt;author&gt;Jones, G&lt;/author&gt;&lt;/authors&gt;&lt;/contributors&gt;&lt;titles&gt;&lt;title&gt;Ambulatory activity, body composition and lower-limb muscle strength in older adults&lt;/title&gt;&lt;secondary-title&gt;Medicine and Science in Sports and Exercise&lt;/secondary-title&gt;&lt;/titles&gt;&lt;periodical&gt;&lt;full-title&gt;Medicine and Science in Sports and Exercise&lt;/full-title&gt;&lt;abbr-1&gt;Med. Sci. Sports Exerc.&lt;/abbr-1&gt;&lt;abbr-2&gt;Med Sci Sports Exerc&lt;/abbr-2&gt;&lt;/periodical&gt;&lt;pages&gt;383-389&lt;/pages&gt;&lt;volume&gt;41&lt;/volume&gt;&lt;number&gt;2&lt;/number&gt;&lt;dates&gt;&lt;year&gt;2009&lt;/year&gt;&lt;/dates&gt;&lt;urls&gt;&lt;/urls&gt;&lt;/record&gt;&lt;/Cite&gt;&lt;/EndNote&gt;</w:instrText>
      </w:r>
      <w:r w:rsidR="008B481D" w:rsidRPr="008F2447">
        <w:rPr>
          <w:rFonts w:asciiTheme="majorBidi" w:hAnsiTheme="majorBidi" w:cstheme="majorBidi"/>
        </w:rPr>
        <w:fldChar w:fldCharType="separate"/>
      </w:r>
      <w:r w:rsidR="00E1169D">
        <w:rPr>
          <w:rFonts w:asciiTheme="majorBidi" w:hAnsiTheme="majorBidi" w:cstheme="majorBidi"/>
          <w:noProof/>
        </w:rPr>
        <w:t>[14]</w:t>
      </w:r>
      <w:r w:rsidR="008B481D" w:rsidRPr="008F2447">
        <w:rPr>
          <w:rFonts w:asciiTheme="majorBidi" w:hAnsiTheme="majorBidi" w:cstheme="majorBidi"/>
        </w:rPr>
        <w:fldChar w:fldCharType="end"/>
      </w:r>
      <w:r w:rsidRPr="008F2447">
        <w:rPr>
          <w:rFonts w:asciiTheme="majorBidi" w:hAnsiTheme="majorBidi" w:cstheme="majorBidi"/>
        </w:rPr>
        <w:t xml:space="preserve">. Lower-limb muscle strength was measured to the nearest kilogram in both legs simultaneously at baseline, using a dynamometer (TTM Muscular Meter, Tokyo, Japan). This test examines isometric strength, predominately of the quadriceps and hip extensors, and has been described in detail previously </w:t>
      </w:r>
      <w:r w:rsidR="008B481D" w:rsidRPr="008F2447">
        <w:rPr>
          <w:rFonts w:asciiTheme="majorBidi" w:hAnsiTheme="majorBidi" w:cstheme="majorBidi"/>
        </w:rPr>
        <w:fldChar w:fldCharType="begin"/>
      </w:r>
      <w:r w:rsidR="00E1169D">
        <w:rPr>
          <w:rFonts w:asciiTheme="majorBidi" w:hAnsiTheme="majorBidi" w:cstheme="majorBidi"/>
        </w:rPr>
        <w:instrText xml:space="preserve"> ADDIN EN.CITE &lt;EndNote&gt;&lt;Cite&gt;&lt;Author&gt;Scott&lt;/Author&gt;&lt;Year&gt;2011&lt;/Year&gt;&lt;RecNum&gt;685&lt;/RecNum&gt;&lt;DisplayText&gt;[15]&lt;/DisplayText&gt;&lt;record&gt;&lt;rec-number&gt;685&lt;/rec-number&gt;&lt;foreign-keys&gt;&lt;key app="EN" db-id="0szssftsn5vfs8eepaz5ew9hxvx5dsfds9z5" timestamp="1289451303"&gt;685&lt;/key&gt;&lt;/foreign-keys&gt;&lt;ref-type name="Journal Article"&gt;17&lt;/ref-type&gt;&lt;contributors&gt;&lt;authors&gt;&lt;author&gt;Scott, D.&lt;/author&gt;&lt;author&gt;Blizzard, L.&lt;/author&gt;&lt;author&gt;Fell, J.&lt;/author&gt;&lt;author&gt;Jones, G.&lt;/author&gt;&lt;/authors&gt;&lt;/contributors&gt;&lt;titles&gt;&lt;title&gt;Prospective associations between ambulatory activity, body composition and muscle function in older adults&lt;/title&gt;&lt;secondary-title&gt;Scandinavian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Sports&lt;/abbr-2&gt;&lt;/periodical&gt;&lt;pages&gt;e168-e175&lt;/pages&gt;&lt;volume&gt;21&lt;/volume&gt;&lt;number&gt;6&lt;/number&gt;&lt;keywords&gt;&lt;keyword&gt;pedometer&lt;/keyword&gt;&lt;keyword&gt;exercise&lt;/keyword&gt;&lt;keyword&gt;body fat&lt;/keyword&gt;&lt;keyword&gt;muscle strength&lt;/keyword&gt;&lt;/keywords&gt;&lt;dates&gt;&lt;year&gt;2011&lt;/year&gt;&lt;/dates&gt;&lt;publisher&gt;Blackwell Publishing Ltd&lt;/publisher&gt;&lt;isbn&gt;1600-0838&lt;/isbn&gt;&lt;urls&gt;&lt;related-urls&gt;&lt;url&gt;http://dx.doi.org/10.1111/j.1600-0838.2010.01229.x&lt;/url&gt;&lt;/related-urls&gt;&lt;/urls&gt;&lt;electronic-resource-num&gt;10.1111/j.1600-0838.2010.01229.x&lt;/electronic-resource-num&gt;&lt;/record&gt;&lt;/Cite&gt;&lt;/EndNote&gt;</w:instrText>
      </w:r>
      <w:r w:rsidR="008B481D" w:rsidRPr="008F2447">
        <w:rPr>
          <w:rFonts w:asciiTheme="majorBidi" w:hAnsiTheme="majorBidi" w:cstheme="majorBidi"/>
        </w:rPr>
        <w:fldChar w:fldCharType="separate"/>
      </w:r>
      <w:r w:rsidR="00E1169D">
        <w:rPr>
          <w:rFonts w:asciiTheme="majorBidi" w:hAnsiTheme="majorBidi" w:cstheme="majorBidi"/>
          <w:noProof/>
        </w:rPr>
        <w:t>[15]</w:t>
      </w:r>
      <w:r w:rsidR="008B481D" w:rsidRPr="008F2447">
        <w:rPr>
          <w:rFonts w:asciiTheme="majorBidi" w:hAnsiTheme="majorBidi" w:cstheme="majorBidi"/>
        </w:rPr>
        <w:fldChar w:fldCharType="end"/>
      </w:r>
      <w:r w:rsidRPr="008F2447">
        <w:rPr>
          <w:rFonts w:asciiTheme="majorBidi" w:hAnsiTheme="majorBidi" w:cstheme="majorBidi"/>
        </w:rPr>
        <w:t>.</w:t>
      </w:r>
      <w:r w:rsidR="00E1169D">
        <w:rPr>
          <w:rFonts w:asciiTheme="majorBidi" w:hAnsiTheme="majorBidi" w:cstheme="majorBidi"/>
        </w:rPr>
        <w:t xml:space="preserve"> </w:t>
      </w:r>
      <w:r w:rsidR="00BB1DB6">
        <w:rPr>
          <w:rFonts w:asciiTheme="majorBidi" w:hAnsiTheme="majorBidi" w:cstheme="majorBidi"/>
          <w:lang w:val="en-AU"/>
        </w:rPr>
        <w:t xml:space="preserve">Participants also completed the </w:t>
      </w:r>
      <w:r w:rsidR="007D662F">
        <w:rPr>
          <w:rFonts w:asciiTheme="majorBidi" w:hAnsiTheme="majorBidi" w:cstheme="majorBidi"/>
          <w:lang w:val="en-AU"/>
        </w:rPr>
        <w:t xml:space="preserve">validated </w:t>
      </w:r>
      <w:r w:rsidR="00BB1DB6">
        <w:rPr>
          <w:rFonts w:asciiTheme="majorBidi" w:hAnsiTheme="majorBidi" w:cstheme="majorBidi"/>
          <w:lang w:val="en-AU"/>
        </w:rPr>
        <w:t>Physiological Profile Assessment (PPA)</w:t>
      </w:r>
      <w:r w:rsidR="00F62082">
        <w:rPr>
          <w:rFonts w:asciiTheme="majorBidi" w:hAnsiTheme="majorBidi" w:cstheme="majorBidi"/>
          <w:lang w:val="en-AU"/>
        </w:rPr>
        <w:t xml:space="preserve"> to assess</w:t>
      </w:r>
      <w:r w:rsidR="007D662F">
        <w:rPr>
          <w:rFonts w:asciiTheme="majorBidi" w:hAnsiTheme="majorBidi" w:cstheme="majorBidi"/>
          <w:lang w:val="en-AU"/>
        </w:rPr>
        <w:t xml:space="preserve"> falls risk</w:t>
      </w:r>
      <w:r w:rsidR="00640E4A">
        <w:rPr>
          <w:rFonts w:asciiTheme="majorBidi" w:hAnsiTheme="majorBidi" w:cstheme="majorBidi"/>
          <w:lang w:val="en-AU"/>
        </w:rPr>
        <w:t xml:space="preserve"> </w:t>
      </w:r>
      <w:r w:rsidR="001311D5">
        <w:rPr>
          <w:rFonts w:asciiTheme="majorBidi" w:hAnsiTheme="majorBidi" w:cstheme="majorBidi"/>
          <w:lang w:val="en-AU"/>
        </w:rPr>
        <w:fldChar w:fldCharType="begin"/>
      </w:r>
      <w:r w:rsidR="001311D5">
        <w:rPr>
          <w:rFonts w:asciiTheme="majorBidi" w:hAnsiTheme="majorBidi" w:cstheme="majorBidi"/>
          <w:lang w:val="en-AU"/>
        </w:rPr>
        <w:instrText xml:space="preserve"> ADDIN EN.CITE &lt;EndNote&gt;&lt;Cite&gt;&lt;Author&gt;Lord&lt;/Author&gt;&lt;Year&gt;2003&lt;/Year&gt;&lt;RecNum&gt;211&lt;/RecNum&gt;&lt;DisplayText&gt;[16]&lt;/DisplayText&gt;&lt;record&gt;&lt;rec-number&gt;211&lt;/rec-number&gt;&lt;foreign-keys&gt;&lt;key app="EN" db-id="0szssftsn5vfs8eepaz5ew9hxvx5dsfds9z5" timestamp="0"&gt;211&lt;/key&gt;&lt;/foreign-keys&gt;&lt;ref-type name="Journal Article"&gt;17&lt;/ref-type&gt;&lt;contributors&gt;&lt;authors&gt;&lt;author&gt;Lord, Stephen R.&lt;/author&gt;&lt;author&gt;Menz, Hylton B.&lt;/author&gt;&lt;author&gt;Tiedemann, Anne&lt;/author&gt;&lt;/authors&gt;&lt;/contributors&gt;&lt;titles&gt;&lt;title&gt;A physiological profile approach to falls risk assessment and prevention&lt;/title&gt;&lt;secondary-title&gt;PHYS THER&lt;/secondary-title&gt;&lt;/titles&gt;&lt;periodical&gt;&lt;full-title&gt;Physical Therapy&lt;/full-title&gt;&lt;abbr-1&gt;Phys. Ther.&lt;/abbr-1&gt;&lt;abbr-2&gt;Phys Ther&lt;/abbr-2&gt;&lt;/periodical&gt;&lt;pages&gt;237-252&lt;/pages&gt;&lt;volume&gt;83&lt;/volume&gt;&lt;number&gt;3&lt;/number&gt;&lt;dates&gt;&lt;year&gt;2003&lt;/year&gt;&lt;pub-dates&gt;&lt;date&gt;March 1, 2003&lt;/date&gt;&lt;/pub-dates&gt;&lt;/dates&gt;&lt;urls&gt;&lt;related-urls&gt;&lt;url&gt;http://www.ptjournal.org/cgi/content/abstract/83/3/237 &lt;/url&gt;&lt;/related-urls&gt;&lt;pdf-urls&gt;&lt;url&gt;file:///C:/Documents%20and%20Settings/dsscott/Desktop/PhD/Sarcopenia%20Articles/Lord2003.pdf&lt;/url&gt;&lt;/pdf-urls&gt;&lt;/urls&gt;&lt;/record&gt;&lt;/Cite&gt;&lt;/EndNote&gt;</w:instrText>
      </w:r>
      <w:r w:rsidR="001311D5">
        <w:rPr>
          <w:rFonts w:asciiTheme="majorBidi" w:hAnsiTheme="majorBidi" w:cstheme="majorBidi"/>
          <w:lang w:val="en-AU"/>
        </w:rPr>
        <w:fldChar w:fldCharType="separate"/>
      </w:r>
      <w:r w:rsidR="001311D5">
        <w:rPr>
          <w:rFonts w:asciiTheme="majorBidi" w:hAnsiTheme="majorBidi" w:cstheme="majorBidi"/>
          <w:noProof/>
          <w:lang w:val="en-AU"/>
        </w:rPr>
        <w:t>[16]</w:t>
      </w:r>
      <w:r w:rsidR="001311D5">
        <w:rPr>
          <w:rFonts w:asciiTheme="majorBidi" w:hAnsiTheme="majorBidi" w:cstheme="majorBidi"/>
          <w:lang w:val="en-AU"/>
        </w:rPr>
        <w:fldChar w:fldCharType="end"/>
      </w:r>
      <w:r w:rsidR="00F62082">
        <w:rPr>
          <w:rFonts w:asciiTheme="majorBidi" w:hAnsiTheme="majorBidi" w:cstheme="majorBidi"/>
          <w:lang w:val="en-AU"/>
        </w:rPr>
        <w:t>. Standardised Z-scores were calculated based on performance in assessments of five physiological domains:</w:t>
      </w:r>
      <w:r w:rsidR="007D662F">
        <w:rPr>
          <w:rFonts w:asciiTheme="majorBidi" w:hAnsiTheme="majorBidi" w:cstheme="majorBidi"/>
          <w:lang w:val="en-AU"/>
        </w:rPr>
        <w:t xml:space="preserve"> </w:t>
      </w:r>
      <w:r w:rsidR="00F62082">
        <w:rPr>
          <w:rFonts w:asciiTheme="majorBidi" w:hAnsiTheme="majorBidi" w:cstheme="majorBidi"/>
          <w:lang w:val="en-AU"/>
        </w:rPr>
        <w:t xml:space="preserve">knee extension strength, </w:t>
      </w:r>
      <w:r w:rsidR="00640E4A">
        <w:rPr>
          <w:rFonts w:asciiTheme="majorBidi" w:hAnsiTheme="majorBidi" w:cstheme="majorBidi"/>
          <w:lang w:val="en-AU"/>
        </w:rPr>
        <w:t>balance, proprioception, reaction time and edge contrast sensitivity</w:t>
      </w:r>
      <w:r w:rsidR="00D23E1F">
        <w:rPr>
          <w:rFonts w:asciiTheme="majorBidi" w:hAnsiTheme="majorBidi" w:cstheme="majorBidi"/>
          <w:lang w:val="en-AU"/>
        </w:rPr>
        <w:t xml:space="preserve">. </w:t>
      </w:r>
      <w:r w:rsidR="001311D5" w:rsidRPr="00612E40">
        <w:rPr>
          <w:rFonts w:ascii="Times New Roman" w:hAnsi="Times New Roman"/>
        </w:rPr>
        <w:t>Falls risk scores less than 0 indicate a low risk of falls, between 0 and 1 indicate a mild increased risk, between 1 and 2 indicate a moderate increased risk, and greater than 2 indicate a high increased risk</w:t>
      </w:r>
      <w:r w:rsidR="001311D5">
        <w:rPr>
          <w:rFonts w:ascii="Times New Roman" w:hAnsi="Times New Roman"/>
        </w:rPr>
        <w:t xml:space="preserve"> </w:t>
      </w:r>
      <w:r w:rsidR="001311D5">
        <w:rPr>
          <w:rFonts w:ascii="Times New Roman" w:hAnsi="Times New Roman"/>
        </w:rPr>
        <w:fldChar w:fldCharType="begin"/>
      </w:r>
      <w:r w:rsidR="001311D5">
        <w:rPr>
          <w:rFonts w:ascii="Times New Roman" w:hAnsi="Times New Roman"/>
        </w:rPr>
        <w:instrText xml:space="preserve"> ADDIN EN.CITE &lt;EndNote&gt;&lt;Cite&gt;&lt;Author&gt;Lord&lt;/Author&gt;&lt;Year&gt;2003&lt;/Year&gt;&lt;RecNum&gt;211&lt;/RecNum&gt;&lt;DisplayText&gt;[16]&lt;/DisplayText&gt;&lt;record&gt;&lt;rec-number&gt;211&lt;/rec-number&gt;&lt;foreign-keys&gt;&lt;key app="EN" db-id="0szssftsn5vfs8eepaz5ew9hxvx5dsfds9z5" timestamp="0"&gt;211&lt;/key&gt;&lt;/foreign-keys&gt;&lt;ref-type name="Journal Article"&gt;17&lt;/ref-type&gt;&lt;contributors&gt;&lt;authors&gt;&lt;author&gt;Lord, Stephen R.&lt;/author&gt;&lt;author&gt;Menz, Hylton B.&lt;/author&gt;&lt;author&gt;Tiedemann, Anne&lt;/author&gt;&lt;/authors&gt;&lt;/contributors&gt;&lt;titles&gt;&lt;title&gt;A physiological profile approach to falls risk assessment and prevention&lt;/title&gt;&lt;secondary-title&gt;PHYS THER&lt;/secondary-title&gt;&lt;/titles&gt;&lt;periodical&gt;&lt;full-title&gt;Physical Therapy&lt;/full-title&gt;&lt;abbr-1&gt;Phys. Ther.&lt;/abbr-1&gt;&lt;abbr-2&gt;Phys Ther&lt;/abbr-2&gt;&lt;/periodical&gt;&lt;pages&gt;237-252&lt;/pages&gt;&lt;volume&gt;83&lt;/volume&gt;&lt;number&gt;3&lt;/number&gt;&lt;dates&gt;&lt;year&gt;2003&lt;/year&gt;&lt;pub-dates&gt;&lt;date&gt;March 1, 2003&lt;/date&gt;&lt;/pub-dates&gt;&lt;/dates&gt;&lt;urls&gt;&lt;related-urls&gt;&lt;url&gt;http://www.ptjournal.org/cgi/content/abstract/83/3/237 &lt;/url&gt;&lt;/related-urls&gt;&lt;pdf-urls&gt;&lt;url&gt;file:///C:/Documents%20and%20Settings/dsscott/Desktop/PhD/Sarcopenia%20Articles/Lord2003.pdf&lt;/url&gt;&lt;/pdf-urls&gt;&lt;/urls&gt;&lt;/record&gt;&lt;/Cite&gt;&lt;/EndNote&gt;</w:instrText>
      </w:r>
      <w:r w:rsidR="001311D5">
        <w:rPr>
          <w:rFonts w:ascii="Times New Roman" w:hAnsi="Times New Roman"/>
        </w:rPr>
        <w:fldChar w:fldCharType="separate"/>
      </w:r>
      <w:r w:rsidR="001311D5">
        <w:rPr>
          <w:rFonts w:ascii="Times New Roman" w:hAnsi="Times New Roman"/>
          <w:noProof/>
        </w:rPr>
        <w:t>[16]</w:t>
      </w:r>
      <w:r w:rsidR="001311D5">
        <w:rPr>
          <w:rFonts w:ascii="Times New Roman" w:hAnsi="Times New Roman"/>
        </w:rPr>
        <w:fldChar w:fldCharType="end"/>
      </w:r>
      <w:r w:rsidR="001311D5" w:rsidRPr="00612E40">
        <w:rPr>
          <w:rFonts w:ascii="Times New Roman" w:hAnsi="Times New Roman"/>
        </w:rPr>
        <w:t>.</w:t>
      </w:r>
    </w:p>
    <w:p w14:paraId="76B97756" w14:textId="1D4484C6" w:rsidR="00575EFD" w:rsidRPr="008F2447" w:rsidRDefault="00944A64" w:rsidP="001311D5">
      <w:pPr>
        <w:spacing w:line="480" w:lineRule="auto"/>
        <w:ind w:firstLine="720"/>
        <w:rPr>
          <w:rFonts w:asciiTheme="majorBidi" w:hAnsiTheme="majorBidi" w:cstheme="majorBidi"/>
        </w:rPr>
      </w:pPr>
      <w:r w:rsidRPr="008F2447">
        <w:rPr>
          <w:rFonts w:asciiTheme="majorBidi" w:hAnsiTheme="majorBidi" w:cstheme="majorBidi"/>
        </w:rPr>
        <w:t xml:space="preserve">Participants underwent whole body, right hip and lumbar spine scans by dual-energy X-ray absorptiometry (DXA: </w:t>
      </w:r>
      <w:proofErr w:type="spellStart"/>
      <w:r w:rsidRPr="008F2447">
        <w:rPr>
          <w:rFonts w:asciiTheme="majorBidi" w:hAnsiTheme="majorBidi" w:cstheme="majorBidi"/>
        </w:rPr>
        <w:t>Hologic</w:t>
      </w:r>
      <w:proofErr w:type="spellEnd"/>
      <w:r w:rsidRPr="008F2447">
        <w:rPr>
          <w:rFonts w:asciiTheme="majorBidi" w:hAnsiTheme="majorBidi" w:cstheme="majorBidi"/>
        </w:rPr>
        <w:t xml:space="preserve"> Delphi densitometer, </w:t>
      </w:r>
      <w:proofErr w:type="spellStart"/>
      <w:r w:rsidRPr="008F2447">
        <w:rPr>
          <w:rFonts w:asciiTheme="majorBidi" w:hAnsiTheme="majorBidi" w:cstheme="majorBidi"/>
        </w:rPr>
        <w:t>Hologic</w:t>
      </w:r>
      <w:proofErr w:type="spellEnd"/>
      <w:r w:rsidRPr="008F2447">
        <w:rPr>
          <w:rFonts w:asciiTheme="majorBidi" w:hAnsiTheme="majorBidi" w:cstheme="majorBidi"/>
        </w:rPr>
        <w:t>, Waltham, USA) from which bone mineral density (g/cm</w:t>
      </w:r>
      <w:r w:rsidRPr="008F2447">
        <w:rPr>
          <w:rFonts w:asciiTheme="majorBidi" w:hAnsiTheme="majorBidi" w:cstheme="majorBidi"/>
          <w:vertAlign w:val="superscript"/>
        </w:rPr>
        <w:t>2</w:t>
      </w:r>
      <w:r w:rsidRPr="008F2447">
        <w:rPr>
          <w:rFonts w:asciiTheme="majorBidi" w:hAnsiTheme="majorBidi" w:cstheme="majorBidi"/>
        </w:rPr>
        <w:t xml:space="preserve">) and soft tissue composition (total body fat [kg and %] and appendicular lean mass (ALM; kg) were calculated. The same densitometer was used throughout the study and quality control was performed using a spine phantom prior to testing. The longitudinal coefficient of variation for this spine phantom using our machine between 2002 and 2007 was 0.39% </w:t>
      </w:r>
      <w:r w:rsidR="008B481D" w:rsidRPr="008F2447">
        <w:rPr>
          <w:rFonts w:asciiTheme="majorBidi" w:hAnsiTheme="majorBidi" w:cstheme="majorBidi"/>
        </w:rPr>
        <w:fldChar w:fldCharType="begin"/>
      </w:r>
      <w:r w:rsidR="001311D5">
        <w:rPr>
          <w:rFonts w:asciiTheme="majorBidi" w:hAnsiTheme="majorBidi" w:cstheme="majorBidi"/>
        </w:rPr>
        <w:instrText xml:space="preserve"> ADDIN EN.CITE &lt;EndNote&gt;&lt;Cite&gt;&lt;Author&gt;Foley&lt;/Author&gt;&lt;Year&gt;2010&lt;/Year&gt;&lt;RecNum&gt;1139&lt;/RecNum&gt;&lt;DisplayText&gt;[17]&lt;/DisplayText&gt;&lt;record&gt;&lt;rec-number&gt;1139&lt;/rec-number&gt;&lt;foreign-keys&gt;&lt;key app="EN" db-id="0szssftsn5vfs8eepaz5ew9hxvx5dsfds9z5" timestamp="1368587742"&gt;1139&lt;/key&gt;&lt;/foreign-keys&gt;&lt;ref-type name="Journal Article"&gt;17&lt;/ref-type&gt;&lt;contributors&gt;&lt;authors&gt;&lt;author&gt;Foley, S&lt;/author&gt;&lt;author&gt;Quinn, S&lt;/author&gt;&lt;author&gt;Jones, G&lt;/author&gt;&lt;/authors&gt;&lt;/contributors&gt;&lt;titles&gt;&lt;title&gt;Pedometer determined ambulatory activity and bone mass: a population-based longitudinal study in older adults&lt;/title&gt;&lt;secondary-title&gt;Osteoporosis International&lt;/secondary-title&gt;&lt;/titles&gt;&lt;periodical&gt;&lt;full-title&gt;Osteoporosis International&lt;/full-title&gt;&lt;abbr-1&gt;Osteoporos. Int.&lt;/abbr-1&gt;&lt;abbr-2&gt;Osteoporos Int&lt;/abbr-2&gt;&lt;/periodical&gt;&lt;pages&gt;1809-1816&lt;/pages&gt;&lt;volume&gt;21&lt;/volume&gt;&lt;number&gt;11&lt;/number&gt;&lt;dates&gt;&lt;year&gt;2010&lt;/year&gt;&lt;/dates&gt;&lt;isbn&gt;0937-941X&lt;/isbn&gt;&lt;urls&gt;&lt;/urls&gt;&lt;/record&gt;&lt;/Cite&gt;&lt;/EndNote&gt;</w:instrText>
      </w:r>
      <w:r w:rsidR="008B481D" w:rsidRPr="008F2447">
        <w:rPr>
          <w:rFonts w:asciiTheme="majorBidi" w:hAnsiTheme="majorBidi" w:cstheme="majorBidi"/>
        </w:rPr>
        <w:fldChar w:fldCharType="separate"/>
      </w:r>
      <w:r w:rsidR="001311D5">
        <w:rPr>
          <w:rFonts w:asciiTheme="majorBidi" w:hAnsiTheme="majorBidi" w:cstheme="majorBidi"/>
          <w:noProof/>
        </w:rPr>
        <w:t>[17]</w:t>
      </w:r>
      <w:r w:rsidR="008B481D" w:rsidRPr="008F2447">
        <w:rPr>
          <w:rFonts w:asciiTheme="majorBidi" w:hAnsiTheme="majorBidi" w:cstheme="majorBidi"/>
        </w:rPr>
        <w:fldChar w:fldCharType="end"/>
      </w:r>
      <w:r w:rsidRPr="008F2447">
        <w:rPr>
          <w:rFonts w:asciiTheme="majorBidi" w:hAnsiTheme="majorBidi" w:cstheme="majorBidi"/>
        </w:rPr>
        <w:t>. Osteoporosis and osteopenia were defined at the hip and spine separately using the T-score. For each site, osteoporosis was defined as a T-score below -2.5 and osteopenia as a T-score greater than or equal to -2.5, but less than -1</w:t>
      </w:r>
      <w:r w:rsidR="00BD5C93">
        <w:rPr>
          <w:rFonts w:asciiTheme="majorBidi" w:hAnsiTheme="majorBidi" w:cstheme="majorBidi"/>
        </w:rPr>
        <w:t xml:space="preserve"> </w:t>
      </w:r>
      <w:r w:rsidR="008B481D" w:rsidRPr="008F2447">
        <w:rPr>
          <w:rFonts w:asciiTheme="majorBidi" w:hAnsiTheme="majorBidi" w:cstheme="majorBidi"/>
        </w:rPr>
        <w:fldChar w:fldCharType="begin"/>
      </w:r>
      <w:r w:rsidR="001311D5">
        <w:rPr>
          <w:rFonts w:asciiTheme="majorBidi" w:hAnsiTheme="majorBidi" w:cstheme="majorBidi"/>
        </w:rPr>
        <w:instrText xml:space="preserve"> ADDIN EN.CITE &lt;EndNote&gt;&lt;Cite&gt;&lt;Author&gt;Kanis&lt;/Author&gt;&lt;Year&gt;2000&lt;/Year&gt;&lt;RecNum&gt;2549&lt;/RecNum&gt;&lt;DisplayText&gt;[18]&lt;/DisplayText&gt;&lt;record&gt;&lt;rec-number&gt;2549&lt;/rec-number&gt;&lt;foreign-keys&gt;&lt;key app="EN" db-id="0szssftsn5vfs8eepaz5ew9hxvx5dsfds9z5" timestamp="1441850876"&gt;2549&lt;/key&gt;&lt;/foreign-keys&gt;&lt;ref-type name="Journal Article"&gt;17&lt;/ref-type&gt;&lt;contributors&gt;&lt;authors&gt;&lt;author&gt;Kanis, JA&lt;/author&gt;&lt;author&gt;Johnell, O&lt;/author&gt;&lt;author&gt;Oden, A&lt;/author&gt;&lt;author&gt;Jonsson, B&lt;/author&gt;&lt;author&gt;De Laet, C&lt;/author&gt;&lt;author&gt;Dawson, A&lt;/author&gt;&lt;/authors&gt;&lt;/contributors&gt;&lt;titles&gt;&lt;title&gt;Risk of hip fracture according to the World Health Organization criteria for osteopenia and osteoporosis&lt;/title&gt;&lt;secondary-title&gt;Bone&lt;/secondary-title&gt;&lt;/titles&gt;&lt;periodical&gt;&lt;full-title&gt;Bone&lt;/full-title&gt;&lt;abbr-1&gt;Bone&lt;/abbr-1&gt;&lt;abbr-2&gt;Bone&lt;/abbr-2&gt;&lt;/periodical&gt;&lt;pages&gt;585-590&lt;/pages&gt;&lt;volume&gt;27&lt;/volume&gt;&lt;number&gt;5&lt;/number&gt;&lt;dates&gt;&lt;year&gt;2000&lt;/year&gt;&lt;/dates&gt;&lt;isbn&gt;8756-3282&lt;/isbn&gt;&lt;urls&gt;&lt;/urls&gt;&lt;/record&gt;&lt;/Cite&gt;&lt;/EndNote&gt;</w:instrText>
      </w:r>
      <w:r w:rsidR="008B481D" w:rsidRPr="008F2447">
        <w:rPr>
          <w:rFonts w:asciiTheme="majorBidi" w:hAnsiTheme="majorBidi" w:cstheme="majorBidi"/>
        </w:rPr>
        <w:fldChar w:fldCharType="separate"/>
      </w:r>
      <w:r w:rsidR="001311D5">
        <w:rPr>
          <w:rFonts w:asciiTheme="majorBidi" w:hAnsiTheme="majorBidi" w:cstheme="majorBidi"/>
          <w:noProof/>
        </w:rPr>
        <w:t>[18]</w:t>
      </w:r>
      <w:r w:rsidR="008B481D" w:rsidRPr="008F2447">
        <w:rPr>
          <w:rFonts w:asciiTheme="majorBidi" w:hAnsiTheme="majorBidi" w:cstheme="majorBidi"/>
        </w:rPr>
        <w:fldChar w:fldCharType="end"/>
      </w:r>
      <w:r w:rsidRPr="008F2447">
        <w:rPr>
          <w:rFonts w:asciiTheme="majorBidi" w:hAnsiTheme="majorBidi" w:cstheme="majorBidi"/>
        </w:rPr>
        <w:t>. At study assessments conducted approximately two-to-three years, five-to-six years, and 10-12 years after baseline, participants were asked to respond to the following question: “List any fractures you may have had since your previous interview for this study. Please list these by the location of the fractures (e.g. left thumb, right wrist, etc.)”. Reported fractures were then classified as non-vertebral or vertebral according to location.</w:t>
      </w:r>
    </w:p>
    <w:p w14:paraId="44240FE9" w14:textId="77777777" w:rsidR="00575EFD" w:rsidRPr="008F2447" w:rsidRDefault="00575EFD">
      <w:pPr>
        <w:spacing w:line="480" w:lineRule="auto"/>
        <w:rPr>
          <w:rFonts w:asciiTheme="majorBidi" w:hAnsiTheme="majorBidi" w:cstheme="majorBidi"/>
        </w:rPr>
      </w:pPr>
    </w:p>
    <w:p w14:paraId="368331CA" w14:textId="77777777" w:rsidR="00575EFD" w:rsidRPr="008F2447" w:rsidRDefault="00944A64">
      <w:pPr>
        <w:spacing w:line="480" w:lineRule="auto"/>
        <w:rPr>
          <w:rFonts w:asciiTheme="majorBidi" w:hAnsiTheme="majorBidi" w:cstheme="majorBidi"/>
          <w:b/>
          <w:bCs/>
          <w:i/>
          <w:iCs/>
        </w:rPr>
      </w:pPr>
      <w:r w:rsidRPr="008F2447">
        <w:rPr>
          <w:rFonts w:asciiTheme="majorBidi" w:hAnsiTheme="majorBidi" w:cstheme="majorBidi"/>
          <w:b/>
          <w:bCs/>
          <w:i/>
          <w:iCs/>
        </w:rPr>
        <w:t xml:space="preserve">Operational definitions of </w:t>
      </w:r>
      <w:proofErr w:type="spellStart"/>
      <w:r w:rsidRPr="008F2447">
        <w:rPr>
          <w:rFonts w:asciiTheme="majorBidi" w:hAnsiTheme="majorBidi" w:cstheme="majorBidi"/>
          <w:b/>
          <w:bCs/>
          <w:i/>
          <w:iCs/>
        </w:rPr>
        <w:t>sarcopenic</w:t>
      </w:r>
      <w:proofErr w:type="spellEnd"/>
      <w:r w:rsidRPr="008F2447">
        <w:rPr>
          <w:rFonts w:asciiTheme="majorBidi" w:hAnsiTheme="majorBidi" w:cstheme="majorBidi"/>
          <w:b/>
          <w:bCs/>
          <w:i/>
          <w:iCs/>
        </w:rPr>
        <w:t xml:space="preserve"> and </w:t>
      </w:r>
      <w:proofErr w:type="spellStart"/>
      <w:r w:rsidRPr="008F2447">
        <w:rPr>
          <w:rFonts w:asciiTheme="majorBidi" w:hAnsiTheme="majorBidi" w:cstheme="majorBidi"/>
          <w:b/>
          <w:bCs/>
          <w:i/>
          <w:iCs/>
        </w:rPr>
        <w:t>dynapenic</w:t>
      </w:r>
      <w:proofErr w:type="spellEnd"/>
      <w:r w:rsidRPr="008F2447">
        <w:rPr>
          <w:rFonts w:asciiTheme="majorBidi" w:hAnsiTheme="majorBidi" w:cstheme="majorBidi"/>
          <w:b/>
          <w:bCs/>
          <w:i/>
          <w:iCs/>
        </w:rPr>
        <w:t xml:space="preserve"> obesity</w:t>
      </w:r>
    </w:p>
    <w:p w14:paraId="6219EB8C" w14:textId="2F1C39EA" w:rsidR="00575EFD" w:rsidRPr="008F2447" w:rsidRDefault="00944A64" w:rsidP="00A96834">
      <w:pPr>
        <w:spacing w:line="480" w:lineRule="auto"/>
        <w:ind w:firstLine="720"/>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were defined according to the measurements and cut-points established in our previous study </w:t>
      </w:r>
      <w:r w:rsidR="008B481D" w:rsidRPr="008F2447">
        <w:rPr>
          <w:rFonts w:asciiTheme="majorBidi" w:hAnsiTheme="majorBidi" w:cstheme="majorBidi"/>
        </w:rPr>
        <w:fldChar w:fldCharType="begin"/>
      </w:r>
      <w:r w:rsidR="00B57F6D">
        <w:rPr>
          <w:rFonts w:asciiTheme="majorBidi" w:hAnsiTheme="majorBidi" w:cstheme="majorBidi"/>
        </w:rPr>
        <w:instrText xml:space="preserve"> ADDIN EN.CITE &lt;EndNote&gt;&lt;Cite&gt;&lt;Author&gt;Scott&lt;/Author&gt;&lt;Year&gt;2014&lt;/Year&gt;&lt;RecNum&gt;1229&lt;/RecNum&gt;&lt;DisplayText&gt;[11]&lt;/DisplayText&gt;&lt;record&gt;&lt;rec-number&gt;1229&lt;/rec-number&gt;&lt;foreign-keys&gt;&lt;key app="EN" db-id="0szssftsn5vfs8eepaz5ew9hxvx5dsfds9z5" timestamp="1374210174"&gt;1229&lt;/key&gt;&lt;/foreign-keys&gt;&lt;ref-type name="Journal Article"&gt;17&lt;/ref-type&gt;&lt;contributors&gt;&lt;authors&gt;&lt;author&gt;Scott, D&lt;/author&gt;&lt;author&gt;Sanders, K.&lt;/author&gt;&lt;author&gt;Aitken, D&lt;/author&gt;&lt;author&gt;Hayes, A&lt;/author&gt;&lt;author&gt;Ebeling, P.R.&lt;/author&gt;&lt;author&gt;Jones, G&lt;/author&gt;&lt;/authors&gt;&lt;/contributors&gt;&lt;titles&gt;&lt;title&gt;Sarcopenic obesity and dynapenic obesity: 5-year associations with falls risk in middle-aged and older adults&lt;/title&gt;&lt;secondary-title&gt;Obesity&lt;/secondary-title&gt;&lt;/titles&gt;&lt;periodical&gt;&lt;full-title&gt;Obesity&lt;/full-title&gt;&lt;abbr-1&gt;Obesity&lt;/abbr-1&gt;&lt;abbr-2&gt;Obesity&lt;/abbr-2&gt;&lt;/periodical&gt;&lt;pages&gt;1568-1574&lt;/pages&gt;&lt;volume&gt;22&lt;/volume&gt;&lt;number&gt;6&lt;/number&gt;&lt;dates&gt;&lt;year&gt;2014&lt;/year&gt;&lt;/dates&gt;&lt;urls&gt;&lt;/urls&gt;&lt;/record&gt;&lt;/Cite&gt;&lt;/EndNote&gt;</w:instrText>
      </w:r>
      <w:r w:rsidR="008B481D" w:rsidRPr="008F2447">
        <w:rPr>
          <w:rFonts w:asciiTheme="majorBidi" w:hAnsiTheme="majorBidi" w:cstheme="majorBidi"/>
        </w:rPr>
        <w:fldChar w:fldCharType="separate"/>
      </w:r>
      <w:r w:rsidR="00B57F6D">
        <w:rPr>
          <w:rFonts w:asciiTheme="majorBidi" w:hAnsiTheme="majorBidi" w:cstheme="majorBidi"/>
          <w:noProof/>
        </w:rPr>
        <w:t>[11]</w:t>
      </w:r>
      <w:r w:rsidR="008B481D" w:rsidRPr="008F2447">
        <w:rPr>
          <w:rFonts w:asciiTheme="majorBidi" w:hAnsiTheme="majorBidi" w:cstheme="majorBidi"/>
        </w:rPr>
        <w:fldChar w:fldCharType="end"/>
      </w:r>
      <w:r w:rsidRPr="008F2447">
        <w:rPr>
          <w:rFonts w:asciiTheme="majorBidi" w:hAnsiTheme="majorBidi" w:cstheme="majorBidi"/>
        </w:rPr>
        <w:t xml:space="preserve">. </w:t>
      </w:r>
      <w:r w:rsidR="00F45BD2">
        <w:rPr>
          <w:rFonts w:asciiTheme="majorBidi" w:hAnsiTheme="majorBidi" w:cstheme="majorBidi"/>
        </w:rPr>
        <w:t xml:space="preserve">Lean </w:t>
      </w:r>
      <w:r w:rsidR="00F45BD2" w:rsidRPr="008F2447">
        <w:rPr>
          <w:rFonts w:asciiTheme="majorBidi" w:hAnsiTheme="majorBidi" w:cstheme="majorBidi"/>
        </w:rPr>
        <w:t xml:space="preserve">mass was calculated relative to body size using the residuals of the linear regression of appendicular lean mass (ALM) on height and total body fat as recommended by Newman and colleagues </w:t>
      </w:r>
      <w:r w:rsidR="00F45BD2" w:rsidRPr="008F2447">
        <w:rPr>
          <w:rFonts w:asciiTheme="majorBidi" w:hAnsiTheme="majorBidi" w:cstheme="majorBidi"/>
        </w:rPr>
        <w:fldChar w:fldCharType="begin"/>
      </w:r>
      <w:r w:rsidR="001311D5">
        <w:rPr>
          <w:rFonts w:asciiTheme="majorBidi" w:hAnsiTheme="majorBidi" w:cstheme="majorBidi"/>
        </w:rPr>
        <w:instrText xml:space="preserve"> ADDIN EN.CITE &lt;EndNote&gt;&lt;Cite&gt;&lt;Author&gt;Newman&lt;/Author&gt;&lt;Year&gt;2003&lt;/Year&gt;&lt;RecNum&gt;269&lt;/RecNum&gt;&lt;DisplayText&gt;[19]&lt;/DisplayText&gt;&lt;record&gt;&lt;rec-number&gt;269&lt;/rec-number&gt;&lt;foreign-keys&gt;&lt;key app="EN" db-id="0szssftsn5vfs8eepaz5ew9hxvx5dsfds9z5" timestamp="0"&gt;269&lt;/key&gt;&lt;/foreign-keys&gt;&lt;ref-type name="Journal Article"&gt;17&lt;/ref-type&gt;&lt;contributors&gt;&lt;authors&gt;&lt;author&gt;Newman, A. B.&lt;/author&gt;&lt;author&gt;Kupelian, V.&lt;/author&gt;&lt;author&gt;Visser, M.&lt;/author&gt;&lt;author&gt;Simonsick, E.&lt;/author&gt;&lt;author&gt;Goodpaster, B.&lt;/author&gt;&lt;author&gt;Nevitt, M.&lt;/author&gt;&lt;author&gt;Kritchevsky, S. B.&lt;/author&gt;&lt;author&gt;Tylavsky, F. A.&lt;/author&gt;&lt;author&gt;Rubin, S. M.&lt;/author&gt;&lt;author&gt;Harris, T. B.&lt;/author&gt;&lt;/authors&gt;&lt;/contributors&gt;&lt;titles&gt;&lt;title&gt;Sarcopenia: alternative definitions and associations with lower extremity function&lt;/title&gt;&lt;secondary-title&gt;Journal of the American Geriatrics Society&lt;/secondary-title&gt;&lt;/titles&gt;&lt;periodical&gt;&lt;full-title&gt;Journal of the American Geriatrics Society&lt;/full-title&gt;&lt;abbr-1&gt;J. Am. Geriatr. Soc.&lt;/abbr-1&gt;&lt;abbr-2&gt;J Am Geriatr Soc&lt;/abbr-2&gt;&lt;/periodical&gt;&lt;pages&gt;1602-1609&lt;/pages&gt;&lt;volume&gt;51&lt;/volume&gt;&lt;number&gt;11&lt;/number&gt;&lt;dates&gt;&lt;year&gt;2003&lt;/year&gt;&lt;/dates&gt;&lt;urls&gt;&lt;pdf-urls&gt;&lt;url&gt;file:///C:/Documents%20and%20Settings/dsscott/Desktop/PhD/Sarcopenia%20Articles/Newman2003.pdf&lt;/url&gt;&lt;/pdf-urls&gt;&lt;/urls&gt;&lt;/record&gt;&lt;/Cite&gt;&lt;/EndNote&gt;</w:instrText>
      </w:r>
      <w:r w:rsidR="00F45BD2" w:rsidRPr="008F2447">
        <w:rPr>
          <w:rFonts w:asciiTheme="majorBidi" w:hAnsiTheme="majorBidi" w:cstheme="majorBidi"/>
        </w:rPr>
        <w:fldChar w:fldCharType="separate"/>
      </w:r>
      <w:r w:rsidR="001311D5">
        <w:rPr>
          <w:rFonts w:asciiTheme="majorBidi" w:hAnsiTheme="majorBidi" w:cstheme="majorBidi"/>
          <w:noProof/>
        </w:rPr>
        <w:t>[19]</w:t>
      </w:r>
      <w:r w:rsidR="00F45BD2" w:rsidRPr="008F2447">
        <w:rPr>
          <w:rFonts w:asciiTheme="majorBidi" w:hAnsiTheme="majorBidi" w:cstheme="majorBidi"/>
        </w:rPr>
        <w:fldChar w:fldCharType="end"/>
      </w:r>
      <w:r w:rsidR="00F45BD2" w:rsidRPr="008F2447">
        <w:rPr>
          <w:rFonts w:asciiTheme="majorBidi" w:hAnsiTheme="majorBidi" w:cstheme="majorBidi"/>
        </w:rPr>
        <w:t xml:space="preserve">. </w:t>
      </w:r>
      <w:r w:rsidR="00F45BD2">
        <w:rPr>
          <w:rFonts w:asciiTheme="majorBidi" w:hAnsiTheme="majorBidi" w:cstheme="majorBidi"/>
        </w:rPr>
        <w:t xml:space="preserve">It should be noted that Newman et al., originally defined </w:t>
      </w:r>
      <w:proofErr w:type="spellStart"/>
      <w:r w:rsidR="00F45BD2">
        <w:rPr>
          <w:rFonts w:asciiTheme="majorBidi" w:hAnsiTheme="majorBidi" w:cstheme="majorBidi"/>
        </w:rPr>
        <w:t>sarcopenia</w:t>
      </w:r>
      <w:proofErr w:type="spellEnd"/>
      <w:r w:rsidR="00F45BD2">
        <w:rPr>
          <w:rFonts w:asciiTheme="majorBidi" w:hAnsiTheme="majorBidi" w:cstheme="majorBidi"/>
        </w:rPr>
        <w:t xml:space="preserve"> as the </w:t>
      </w:r>
      <w:r w:rsidR="00F45BD2" w:rsidRPr="00440596">
        <w:rPr>
          <w:rFonts w:asciiTheme="majorBidi" w:hAnsiTheme="majorBidi" w:cstheme="majorBidi"/>
          <w:lang w:val="en-AU"/>
        </w:rPr>
        <w:t xml:space="preserve">sex-specific lowest 20% of the distribution of </w:t>
      </w:r>
      <w:r w:rsidR="00F45BD2">
        <w:rPr>
          <w:rFonts w:asciiTheme="majorBidi" w:hAnsiTheme="majorBidi" w:cstheme="majorBidi"/>
        </w:rPr>
        <w:t xml:space="preserve">ALM residuals, however we applied cut-points of the lowest </w:t>
      </w:r>
      <w:proofErr w:type="spellStart"/>
      <w:r w:rsidR="00F45BD2">
        <w:rPr>
          <w:rFonts w:asciiTheme="majorBidi" w:hAnsiTheme="majorBidi" w:cstheme="majorBidi"/>
        </w:rPr>
        <w:t>tertiles</w:t>
      </w:r>
      <w:proofErr w:type="spellEnd"/>
      <w:r w:rsidR="00F45BD2">
        <w:rPr>
          <w:rFonts w:asciiTheme="majorBidi" w:hAnsiTheme="majorBidi" w:cstheme="majorBidi"/>
        </w:rPr>
        <w:t xml:space="preserve"> for muscle mass and strength, and highest </w:t>
      </w:r>
      <w:proofErr w:type="spellStart"/>
      <w:r w:rsidR="00F45BD2">
        <w:rPr>
          <w:rFonts w:asciiTheme="majorBidi" w:hAnsiTheme="majorBidi" w:cstheme="majorBidi"/>
        </w:rPr>
        <w:t>tertile</w:t>
      </w:r>
      <w:proofErr w:type="spellEnd"/>
      <w:r w:rsidR="00F45BD2">
        <w:rPr>
          <w:rFonts w:asciiTheme="majorBidi" w:hAnsiTheme="majorBidi" w:cstheme="majorBidi"/>
        </w:rPr>
        <w:t xml:space="preserve"> for body fat, in order to be consistent with previous definitions of </w:t>
      </w:r>
      <w:proofErr w:type="spellStart"/>
      <w:r w:rsidR="00F45BD2">
        <w:rPr>
          <w:rFonts w:asciiTheme="majorBidi" w:hAnsiTheme="majorBidi" w:cstheme="majorBidi"/>
        </w:rPr>
        <w:t>sarcopenic</w:t>
      </w:r>
      <w:proofErr w:type="spellEnd"/>
      <w:r w:rsidR="00F45BD2">
        <w:rPr>
          <w:rFonts w:asciiTheme="majorBidi" w:hAnsiTheme="majorBidi" w:cstheme="majorBidi"/>
        </w:rPr>
        <w:t xml:space="preserve"> and </w:t>
      </w:r>
      <w:proofErr w:type="spellStart"/>
      <w:r w:rsidR="00F45BD2">
        <w:rPr>
          <w:rFonts w:asciiTheme="majorBidi" w:hAnsiTheme="majorBidi" w:cstheme="majorBidi"/>
        </w:rPr>
        <w:t>dynapenic</w:t>
      </w:r>
      <w:proofErr w:type="spellEnd"/>
      <w:r w:rsidR="00F45BD2">
        <w:rPr>
          <w:rFonts w:asciiTheme="majorBidi" w:hAnsiTheme="majorBidi" w:cstheme="majorBidi"/>
        </w:rPr>
        <w:t xml:space="preserve"> obesity </w:t>
      </w:r>
      <w:r w:rsidR="00F45BD2">
        <w:rPr>
          <w:rFonts w:asciiTheme="majorBidi" w:hAnsiTheme="majorBidi" w:cstheme="majorBidi"/>
        </w:rPr>
        <w:fldChar w:fldCharType="begin"/>
      </w:r>
      <w:r w:rsidR="001311D5">
        <w:rPr>
          <w:rFonts w:asciiTheme="majorBidi" w:hAnsiTheme="majorBidi" w:cstheme="majorBidi"/>
        </w:rPr>
        <w:instrText xml:space="preserve"> ADDIN EN.CITE &lt;EndNote&gt;&lt;Cite&gt;&lt;Author&gt;Bouchard&lt;/Author&gt;&lt;Year&gt;2010&lt;/Year&gt;&lt;RecNum&gt;914&lt;/RecNum&gt;&lt;DisplayText&gt;[20, 21]&lt;/DisplayText&gt;&lt;record&gt;&lt;rec-number&gt;914&lt;/rec-number&gt;&lt;foreign-keys&gt;&lt;key app="EN" db-id="0szssftsn5vfs8eepaz5ew9hxvx5dsfds9z5" timestamp="1349917741"&gt;914&lt;/key&gt;&lt;/foreign-keys&gt;&lt;ref-type name="Journal Article"&gt;17&lt;/ref-type&gt;&lt;contributors&gt;&lt;authors&gt;&lt;author&gt;Bouchard, D.R.&lt;/author&gt;&lt;author&gt;Janssen, I.&lt;/author&gt;&lt;/authors&gt;&lt;/contributors&gt;&lt;titles&gt;&lt;title&gt;Dynapenic-obesity and physical function in older adults&lt;/title&gt;&lt;secondary-title&gt;Journals of Gerontology. Series A, Biological Sciences and Medical Sciences&lt;/secondary-title&gt;&lt;/titles&gt;&lt;periodical&gt;&lt;full-title&gt;Journals of Gerontology. Series A, Biological Sciences and Medical Sciences&lt;/full-title&gt;&lt;abbr-1&gt;J. Gerontol. A. Biol. Sci. Med. Sci.&lt;/abbr-1&gt;&lt;abbr-2&gt;J Gerontol A Biol Sci Med Sci&lt;/abbr-2&gt;&lt;/periodical&gt;&lt;pages&gt;71-77&lt;/pages&gt;&lt;volume&gt;65&lt;/volume&gt;&lt;number&gt;1&lt;/number&gt;&lt;dates&gt;&lt;year&gt;2010&lt;/year&gt;&lt;/dates&gt;&lt;isbn&gt;1079-5006&lt;/isbn&gt;&lt;urls&gt;&lt;/urls&gt;&lt;/record&gt;&lt;/Cite&gt;&lt;Cite&gt;&lt;Author&gt;Sénéchal&lt;/Author&gt;&lt;Year&gt;2012&lt;/Year&gt;&lt;RecNum&gt;833&lt;/RecNum&gt;&lt;record&gt;&lt;rec-number&gt;833&lt;/rec-number&gt;&lt;foreign-keys&gt;&lt;key app="EN" db-id="0szssftsn5vfs8eepaz5ew9hxvx5dsfds9z5" timestamp="1343961987"&gt;833&lt;/key&gt;&lt;/foreign-keys&gt;&lt;ref-type name="Journal Article"&gt;17&lt;/ref-type&gt;&lt;contributors&gt;&lt;authors&gt;&lt;author&gt;Sénéchal, M.&lt;/author&gt;&lt;author&gt;Dionne, I.J.&lt;/author&gt;&lt;author&gt;Brochu, M.&lt;/author&gt;&lt;/authors&gt;&lt;/contributors&gt;&lt;titles&gt;&lt;title&gt;Dynapenic abdominal obesity and metabolic risk factors in adults 50 years of age and older&lt;/title&gt;&lt;secondary-title&gt;Journal of Aging and Health&lt;/secondary-title&gt;&lt;/titles&gt;&lt;periodical&gt;&lt;full-title&gt;Journal of Aging and Health&lt;/full-title&gt;&lt;abbr-1&gt;J. Aging Health&lt;/abbr-1&gt;&lt;abbr-2&gt;J Aging Health&lt;/abbr-2&gt;&lt;/periodical&gt;&lt;pages&gt;812-826&lt;/pages&gt;&lt;volume&gt;24&lt;/volume&gt;&lt;number&gt;5&lt;/number&gt;&lt;dates&gt;&lt;year&gt;2012&lt;/year&gt;&lt;/dates&gt;&lt;isbn&gt;0898-2643&lt;/isbn&gt;&lt;urls&gt;&lt;/urls&gt;&lt;/record&gt;&lt;/Cite&gt;&lt;/EndNote&gt;</w:instrText>
      </w:r>
      <w:r w:rsidR="00F45BD2">
        <w:rPr>
          <w:rFonts w:asciiTheme="majorBidi" w:hAnsiTheme="majorBidi" w:cstheme="majorBidi"/>
        </w:rPr>
        <w:fldChar w:fldCharType="separate"/>
      </w:r>
      <w:r w:rsidR="001311D5">
        <w:rPr>
          <w:rFonts w:asciiTheme="majorBidi" w:hAnsiTheme="majorBidi" w:cstheme="majorBidi"/>
          <w:noProof/>
        </w:rPr>
        <w:t>[20, 21]</w:t>
      </w:r>
      <w:r w:rsidR="00F45BD2">
        <w:rPr>
          <w:rFonts w:asciiTheme="majorBidi" w:hAnsiTheme="majorBidi" w:cstheme="majorBidi"/>
        </w:rPr>
        <w:fldChar w:fldCharType="end"/>
      </w:r>
      <w:r w:rsidR="00F45BD2">
        <w:rPr>
          <w:rFonts w:asciiTheme="majorBidi" w:hAnsiTheme="majorBidi" w:cstheme="majorBidi"/>
        </w:rPr>
        <w:t xml:space="preserve">. </w:t>
      </w:r>
      <w:r w:rsidRPr="008F2447">
        <w:rPr>
          <w:rFonts w:asciiTheme="majorBidi" w:hAnsiTheme="majorBidi" w:cstheme="majorBidi"/>
        </w:rPr>
        <w:t xml:space="preserve">Specifically, </w:t>
      </w:r>
      <w:proofErr w:type="spellStart"/>
      <w:r w:rsidRPr="008F2447">
        <w:rPr>
          <w:rFonts w:asciiTheme="majorBidi" w:hAnsiTheme="majorBidi" w:cstheme="majorBidi"/>
        </w:rPr>
        <w:t>sarcopenia</w:t>
      </w:r>
      <w:proofErr w:type="spellEnd"/>
      <w:r w:rsidRPr="008F2447">
        <w:rPr>
          <w:rFonts w:asciiTheme="majorBidi" w:hAnsiTheme="majorBidi" w:cstheme="majorBidi"/>
        </w:rPr>
        <w:t xml:space="preserve"> was defined as the lowest sex-specific </w:t>
      </w:r>
      <w:proofErr w:type="spellStart"/>
      <w:r w:rsidRPr="008F2447">
        <w:rPr>
          <w:rFonts w:asciiTheme="majorBidi" w:hAnsiTheme="majorBidi" w:cstheme="majorBidi"/>
        </w:rPr>
        <w:t>tertile</w:t>
      </w:r>
      <w:proofErr w:type="spellEnd"/>
      <w:r w:rsidRPr="008F2447">
        <w:rPr>
          <w:rFonts w:asciiTheme="majorBidi" w:hAnsiTheme="majorBidi" w:cstheme="majorBidi"/>
        </w:rPr>
        <w:t xml:space="preserve"> for </w:t>
      </w:r>
      <w:r w:rsidR="00F45BD2">
        <w:rPr>
          <w:rFonts w:asciiTheme="majorBidi" w:hAnsiTheme="majorBidi" w:cstheme="majorBidi"/>
        </w:rPr>
        <w:t>residuals of ALM</w:t>
      </w:r>
      <w:r w:rsidR="009D7B0A">
        <w:rPr>
          <w:rFonts w:asciiTheme="majorBidi" w:hAnsiTheme="majorBidi" w:cstheme="majorBidi"/>
          <w:lang w:val="en-AU"/>
        </w:rPr>
        <w:t xml:space="preserve"> </w:t>
      </w:r>
      <w:r w:rsidR="00BC2050">
        <w:rPr>
          <w:rFonts w:asciiTheme="majorBidi" w:hAnsiTheme="majorBidi" w:cstheme="majorBidi"/>
          <w:lang w:val="en-AU"/>
        </w:rPr>
        <w:t>(men &lt;-1.09; women &lt;-0.92)</w:t>
      </w:r>
      <w:r w:rsidRPr="008F2447">
        <w:rPr>
          <w:rFonts w:asciiTheme="majorBidi" w:hAnsiTheme="majorBidi" w:cstheme="majorBidi"/>
        </w:rPr>
        <w:t xml:space="preserve">, </w:t>
      </w:r>
      <w:proofErr w:type="spellStart"/>
      <w:r w:rsidRPr="008F2447">
        <w:rPr>
          <w:rFonts w:asciiTheme="majorBidi" w:hAnsiTheme="majorBidi" w:cstheme="majorBidi"/>
        </w:rPr>
        <w:t>dynapenia</w:t>
      </w:r>
      <w:proofErr w:type="spellEnd"/>
      <w:r w:rsidRPr="008F2447">
        <w:rPr>
          <w:rFonts w:asciiTheme="majorBidi" w:hAnsiTheme="majorBidi" w:cstheme="majorBidi"/>
        </w:rPr>
        <w:t xml:space="preserve"> as the lowest sex-specific </w:t>
      </w:r>
      <w:proofErr w:type="spellStart"/>
      <w:r w:rsidRPr="008F2447">
        <w:rPr>
          <w:rFonts w:asciiTheme="majorBidi" w:hAnsiTheme="majorBidi" w:cstheme="majorBidi"/>
        </w:rPr>
        <w:t>tertile</w:t>
      </w:r>
      <w:proofErr w:type="spellEnd"/>
      <w:r w:rsidRPr="008F2447">
        <w:rPr>
          <w:rFonts w:asciiTheme="majorBidi" w:hAnsiTheme="majorBidi" w:cstheme="majorBidi"/>
        </w:rPr>
        <w:t xml:space="preserve"> for lower-limb muscle strength</w:t>
      </w:r>
      <w:r w:rsidR="00BC2050">
        <w:rPr>
          <w:rFonts w:asciiTheme="majorBidi" w:hAnsiTheme="majorBidi" w:cstheme="majorBidi"/>
          <w:lang w:val="en-AU"/>
        </w:rPr>
        <w:t xml:space="preserve"> </w:t>
      </w:r>
      <w:r w:rsidR="00177786">
        <w:rPr>
          <w:rFonts w:asciiTheme="majorBidi" w:hAnsiTheme="majorBidi" w:cstheme="majorBidi"/>
          <w:lang w:val="en-AU"/>
        </w:rPr>
        <w:t>(men &lt;112kg; women &lt;47.5kg)</w:t>
      </w:r>
      <w:r w:rsidRPr="008F2447">
        <w:rPr>
          <w:rFonts w:asciiTheme="majorBidi" w:hAnsiTheme="majorBidi" w:cstheme="majorBidi"/>
        </w:rPr>
        <w:t xml:space="preserve">, and obesity as the highest sex-specific </w:t>
      </w:r>
      <w:proofErr w:type="spellStart"/>
      <w:r w:rsidRPr="008F2447">
        <w:rPr>
          <w:rFonts w:asciiTheme="majorBidi" w:hAnsiTheme="majorBidi" w:cstheme="majorBidi"/>
        </w:rPr>
        <w:t>tertile</w:t>
      </w:r>
      <w:proofErr w:type="spellEnd"/>
      <w:r w:rsidRPr="008F2447">
        <w:rPr>
          <w:rFonts w:asciiTheme="majorBidi" w:hAnsiTheme="majorBidi" w:cstheme="majorBidi"/>
        </w:rPr>
        <w:t xml:space="preserve"> for total body fat</w:t>
      </w:r>
      <w:r w:rsidR="00177786">
        <w:rPr>
          <w:rFonts w:asciiTheme="majorBidi" w:hAnsiTheme="majorBidi" w:cstheme="majorBidi"/>
          <w:lang w:val="en-AU"/>
        </w:rPr>
        <w:t xml:space="preserve"> (</w:t>
      </w:r>
      <w:r w:rsidR="009F0A92">
        <w:rPr>
          <w:rFonts w:asciiTheme="majorBidi" w:hAnsiTheme="majorBidi" w:cstheme="majorBidi"/>
          <w:lang w:val="en-AU"/>
        </w:rPr>
        <w:t>men</w:t>
      </w:r>
      <w:r w:rsidR="001E40C9">
        <w:rPr>
          <w:rFonts w:asciiTheme="majorBidi" w:hAnsiTheme="majorBidi" w:cstheme="majorBidi"/>
          <w:lang w:val="en-AU"/>
        </w:rPr>
        <w:t xml:space="preserve"> </w:t>
      </w:r>
      <w:r w:rsidR="00A96834">
        <w:rPr>
          <w:rFonts w:asciiTheme="majorBidi" w:hAnsiTheme="majorBidi" w:cstheme="majorBidi"/>
          <w:lang w:val="en-AU"/>
        </w:rPr>
        <w:t>≥</w:t>
      </w:r>
      <w:r w:rsidR="001E40C9">
        <w:rPr>
          <w:rFonts w:asciiTheme="majorBidi" w:hAnsiTheme="majorBidi" w:cstheme="majorBidi"/>
          <w:lang w:val="en-AU"/>
        </w:rPr>
        <w:t>27.02</w:t>
      </w:r>
      <w:r w:rsidR="00177786">
        <w:rPr>
          <w:rFonts w:asciiTheme="majorBidi" w:hAnsiTheme="majorBidi" w:cstheme="majorBidi"/>
          <w:lang w:val="en-AU"/>
        </w:rPr>
        <w:t>kg</w:t>
      </w:r>
      <w:r w:rsidR="001E40C9">
        <w:rPr>
          <w:rFonts w:asciiTheme="majorBidi" w:hAnsiTheme="majorBidi" w:cstheme="majorBidi"/>
          <w:lang w:val="en-AU"/>
        </w:rPr>
        <w:t xml:space="preserve">; women </w:t>
      </w:r>
      <w:r w:rsidR="00A96834">
        <w:rPr>
          <w:rFonts w:asciiTheme="majorBidi" w:hAnsiTheme="majorBidi" w:cstheme="majorBidi"/>
          <w:lang w:val="en-AU"/>
        </w:rPr>
        <w:t>≥</w:t>
      </w:r>
      <w:r w:rsidR="001E40C9">
        <w:rPr>
          <w:rFonts w:asciiTheme="majorBidi" w:hAnsiTheme="majorBidi" w:cstheme="majorBidi"/>
          <w:lang w:val="en-AU"/>
        </w:rPr>
        <w:t>32.83</w:t>
      </w:r>
      <w:r w:rsidR="00177786">
        <w:rPr>
          <w:rFonts w:asciiTheme="majorBidi" w:hAnsiTheme="majorBidi" w:cstheme="majorBidi"/>
          <w:lang w:val="en-AU"/>
        </w:rPr>
        <w:t>kg)</w:t>
      </w:r>
      <w:r w:rsidRPr="008F2447">
        <w:rPr>
          <w:rFonts w:asciiTheme="majorBidi" w:hAnsiTheme="majorBidi" w:cstheme="majorBidi"/>
        </w:rPr>
        <w:t xml:space="preserve">. </w:t>
      </w:r>
      <w:r w:rsidR="0092149C">
        <w:rPr>
          <w:rFonts w:asciiTheme="majorBidi" w:hAnsiTheme="majorBidi" w:cstheme="majorBidi"/>
          <w:lang w:val="en-AU"/>
        </w:rPr>
        <w:t>For the primary analyses, p</w:t>
      </w:r>
      <w:proofErr w:type="spellStart"/>
      <w:r w:rsidRPr="008F2447">
        <w:rPr>
          <w:rFonts w:asciiTheme="majorBidi" w:hAnsiTheme="majorBidi" w:cstheme="majorBidi"/>
        </w:rPr>
        <w:t>articipants</w:t>
      </w:r>
      <w:proofErr w:type="spellEnd"/>
      <w:r w:rsidRPr="008F2447">
        <w:rPr>
          <w:rFonts w:asciiTheme="majorBidi" w:hAnsiTheme="majorBidi" w:cstheme="majorBidi"/>
        </w:rPr>
        <w:t xml:space="preserve"> were classified into one of four categories for </w:t>
      </w:r>
      <w:r w:rsidR="0092149C">
        <w:rPr>
          <w:rFonts w:asciiTheme="majorBidi" w:hAnsiTheme="majorBidi" w:cstheme="majorBidi"/>
          <w:lang w:val="en-AU"/>
        </w:rPr>
        <w:t>both</w:t>
      </w:r>
      <w:r w:rsidR="0092149C" w:rsidRPr="008F2447">
        <w:rPr>
          <w:rFonts w:asciiTheme="majorBidi" w:hAnsiTheme="majorBidi" w:cstheme="majorBidi"/>
        </w:rPr>
        <w:t xml:space="preserve">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definitions (non-</w:t>
      </w:r>
      <w:proofErr w:type="spellStart"/>
      <w:r w:rsidRPr="008F2447">
        <w:rPr>
          <w:rFonts w:asciiTheme="majorBidi" w:hAnsiTheme="majorBidi" w:cstheme="majorBidi"/>
        </w:rPr>
        <w:t>sarco</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non-obese; non-</w:t>
      </w:r>
      <w:proofErr w:type="spellStart"/>
      <w:r w:rsidRPr="008F2447">
        <w:rPr>
          <w:rFonts w:asciiTheme="majorBidi" w:hAnsiTheme="majorBidi" w:cstheme="majorBidi"/>
        </w:rPr>
        <w:t>sarco</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roofErr w:type="spellStart"/>
      <w:r w:rsidRPr="008F2447">
        <w:rPr>
          <w:rFonts w:asciiTheme="majorBidi" w:hAnsiTheme="majorBidi" w:cstheme="majorBidi"/>
        </w:rPr>
        <w:t>sarco</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w:t>
      </w:r>
      <w:proofErr w:type="spellStart"/>
      <w:r w:rsidRPr="008F2447">
        <w:rPr>
          <w:rFonts w:asciiTheme="majorBidi" w:hAnsiTheme="majorBidi" w:cstheme="majorBidi"/>
        </w:rPr>
        <w:t>sarco</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r w:rsidR="00A96834">
        <w:rPr>
          <w:rFonts w:asciiTheme="majorBidi" w:hAnsiTheme="majorBidi" w:cstheme="majorBidi"/>
        </w:rPr>
        <w:t xml:space="preserve">In order to be consistent with current multidimensional definitions of </w:t>
      </w:r>
      <w:proofErr w:type="spellStart"/>
      <w:r w:rsidR="00A96834">
        <w:rPr>
          <w:rFonts w:asciiTheme="majorBidi" w:hAnsiTheme="majorBidi" w:cstheme="majorBidi"/>
        </w:rPr>
        <w:t>sarcopenia</w:t>
      </w:r>
      <w:proofErr w:type="spellEnd"/>
      <w:r w:rsidR="00A96834">
        <w:rPr>
          <w:rFonts w:asciiTheme="majorBidi" w:hAnsiTheme="majorBidi" w:cstheme="majorBidi"/>
        </w:rPr>
        <w:t xml:space="preserve"> </w:t>
      </w:r>
      <w:r w:rsidR="00A96834">
        <w:rPr>
          <w:rFonts w:asciiTheme="majorBidi" w:hAnsiTheme="majorBidi" w:cstheme="majorBidi"/>
        </w:rPr>
        <w:fldChar w:fldCharType="begin"/>
      </w:r>
      <w:r w:rsidR="00A96834">
        <w:rPr>
          <w:rFonts w:asciiTheme="majorBidi" w:hAnsiTheme="majorBidi" w:cstheme="majorBidi"/>
        </w:rPr>
        <w:instrText xml:space="preserve"> ADDIN EN.CITE &lt;EndNote&gt;&lt;Cite&gt;&lt;Author&gt;Cruz-Jentoft&lt;/Author&gt;&lt;Year&gt;2010&lt;/Year&gt;&lt;RecNum&gt;667&lt;/RecNum&gt;&lt;DisplayText&gt;[22]&lt;/DisplayText&gt;&lt;record&gt;&lt;rec-number&gt;667&lt;/rec-number&gt;&lt;foreign-keys&gt;&lt;key app="EN" db-id="0szssftsn5vfs8eepaz5ew9hxvx5dsfds9z5" timestamp="0"&gt;667&lt;/key&gt;&lt;/foreign-keys&gt;&lt;ref-type name="Journal Article"&gt;17&lt;/ref-type&gt;&lt;contributors&gt;&lt;authors&gt;&lt;author&gt;Cruz-Jentoft, Alfonso J.&lt;/author&gt;&lt;author&gt;Baeyens, Jean Pierre&lt;/author&gt;&lt;author&gt;Bauer, Jurgen M.&lt;/author&gt;&lt;author&gt;Boirie, Yves&lt;/author&gt;&lt;author&gt;Cederholm, Tommy&lt;/author&gt;&lt;author&gt;Landi, Francesco&lt;/author&gt;&lt;author&gt;Martin, Finbarr C.&lt;/author&gt;&lt;author&gt;Michel, Jean-Pierre&lt;/author&gt;&lt;author&gt;Rolland, Yves&lt;/author&gt;&lt;author&gt;Schneider, Stephane M.&lt;/author&gt;&lt;author&gt;Topinkova, Eva&lt;/author&gt;&lt;author&gt;Vandewoude, Maurits&lt;/author&gt;&lt;author&gt;Zamboni, Mauro&lt;/author&gt;&lt;/authors&gt;&lt;/contributors&gt;&lt;titles&gt;&lt;title&gt;Sarcopenia: European consensus on definition and diagnosis: Report of the European Working Group on Sarcopenia in Older People&lt;/title&gt;&lt;secondary-title&gt;Age and Ageing&lt;/secondary-title&gt;&lt;/titles&gt;&lt;periodical&gt;&lt;full-title&gt;Age and Ageing&lt;/full-title&gt;&lt;abbr-1&gt;Age Ageing&lt;/abbr-1&gt;&lt;abbr-2&gt;Age Ageing&lt;/abbr-2&gt;&lt;/periodical&gt;&lt;pages&gt;412-423&lt;/pages&gt;&lt;volume&gt;39&lt;/volume&gt;&lt;number&gt;4&lt;/number&gt;&lt;dates&gt;&lt;year&gt;2010&lt;/year&gt;&lt;/dates&gt;&lt;urls&gt;&lt;related-urls&gt;&lt;url&gt;http://ageing.oxfordjournals.org/cgi/content/abstract/39/4/412&lt;/url&gt;&lt;/related-urls&gt;&lt;/urls&gt;&lt;/record&gt;&lt;/Cite&gt;&lt;/EndNote&gt;</w:instrText>
      </w:r>
      <w:r w:rsidR="00A96834">
        <w:rPr>
          <w:rFonts w:asciiTheme="majorBidi" w:hAnsiTheme="majorBidi" w:cstheme="majorBidi"/>
        </w:rPr>
        <w:fldChar w:fldCharType="separate"/>
      </w:r>
      <w:r w:rsidR="00A96834">
        <w:rPr>
          <w:rFonts w:asciiTheme="majorBidi" w:hAnsiTheme="majorBidi" w:cstheme="majorBidi"/>
          <w:noProof/>
        </w:rPr>
        <w:t>[22]</w:t>
      </w:r>
      <w:r w:rsidR="00A96834">
        <w:rPr>
          <w:rFonts w:asciiTheme="majorBidi" w:hAnsiTheme="majorBidi" w:cstheme="majorBidi"/>
        </w:rPr>
        <w:fldChar w:fldCharType="end"/>
      </w:r>
      <w:r w:rsidR="00A96834">
        <w:rPr>
          <w:rFonts w:asciiTheme="majorBidi" w:hAnsiTheme="majorBidi" w:cstheme="majorBidi"/>
        </w:rPr>
        <w:t xml:space="preserve">, </w:t>
      </w:r>
      <w:r w:rsidR="00A96834">
        <w:rPr>
          <w:rFonts w:asciiTheme="majorBidi" w:hAnsiTheme="majorBidi" w:cstheme="majorBidi"/>
          <w:lang w:val="en-AU"/>
        </w:rPr>
        <w:t>w</w:t>
      </w:r>
      <w:r w:rsidR="0092149C">
        <w:rPr>
          <w:rFonts w:asciiTheme="majorBidi" w:hAnsiTheme="majorBidi" w:cstheme="majorBidi"/>
          <w:lang w:val="en-AU"/>
        </w:rPr>
        <w:t>e also conducted further analyses in which participants</w:t>
      </w:r>
      <w:r w:rsidR="008F6588">
        <w:rPr>
          <w:rFonts w:asciiTheme="majorBidi" w:hAnsiTheme="majorBidi" w:cstheme="majorBidi"/>
          <w:lang w:val="en-AU"/>
        </w:rPr>
        <w:t xml:space="preserve"> were classified as having both </w:t>
      </w:r>
      <w:proofErr w:type="spellStart"/>
      <w:r w:rsidR="008F6588">
        <w:rPr>
          <w:rFonts w:asciiTheme="majorBidi" w:hAnsiTheme="majorBidi" w:cstheme="majorBidi"/>
          <w:lang w:val="en-AU"/>
        </w:rPr>
        <w:t>sarcopenic</w:t>
      </w:r>
      <w:proofErr w:type="spellEnd"/>
      <w:r w:rsidR="008F6588">
        <w:rPr>
          <w:rFonts w:asciiTheme="majorBidi" w:hAnsiTheme="majorBidi" w:cstheme="majorBidi"/>
          <w:lang w:val="en-AU"/>
        </w:rPr>
        <w:t xml:space="preserve"> and </w:t>
      </w:r>
      <w:proofErr w:type="spellStart"/>
      <w:r w:rsidR="008F6588">
        <w:rPr>
          <w:rFonts w:asciiTheme="majorBidi" w:hAnsiTheme="majorBidi" w:cstheme="majorBidi"/>
          <w:lang w:val="en-AU"/>
        </w:rPr>
        <w:t>dynapenic</w:t>
      </w:r>
      <w:proofErr w:type="spellEnd"/>
      <w:r w:rsidR="008F6588">
        <w:rPr>
          <w:rFonts w:asciiTheme="majorBidi" w:hAnsiTheme="majorBidi" w:cstheme="majorBidi"/>
          <w:lang w:val="en-AU"/>
        </w:rPr>
        <w:t xml:space="preserve"> obesity, </w:t>
      </w:r>
      <w:proofErr w:type="spellStart"/>
      <w:r w:rsidR="008F6588">
        <w:rPr>
          <w:rFonts w:asciiTheme="majorBidi" w:hAnsiTheme="majorBidi" w:cstheme="majorBidi"/>
          <w:lang w:val="en-AU"/>
        </w:rPr>
        <w:t>sarcopeni</w:t>
      </w:r>
      <w:r w:rsidR="00A96834">
        <w:rPr>
          <w:rFonts w:asciiTheme="majorBidi" w:hAnsiTheme="majorBidi" w:cstheme="majorBidi"/>
          <w:lang w:val="en-AU"/>
        </w:rPr>
        <w:t>a</w:t>
      </w:r>
      <w:proofErr w:type="spellEnd"/>
      <w:r w:rsidR="00A96834">
        <w:rPr>
          <w:rFonts w:asciiTheme="majorBidi" w:hAnsiTheme="majorBidi" w:cstheme="majorBidi"/>
          <w:lang w:val="en-AU"/>
        </w:rPr>
        <w:t xml:space="preserve"> and </w:t>
      </w:r>
      <w:proofErr w:type="spellStart"/>
      <w:r w:rsidR="008F6588">
        <w:rPr>
          <w:rFonts w:asciiTheme="majorBidi" w:hAnsiTheme="majorBidi" w:cstheme="majorBidi"/>
          <w:lang w:val="en-AU"/>
        </w:rPr>
        <w:t>dynapeni</w:t>
      </w:r>
      <w:r w:rsidR="00A96834">
        <w:rPr>
          <w:rFonts w:asciiTheme="majorBidi" w:hAnsiTheme="majorBidi" w:cstheme="majorBidi"/>
          <w:lang w:val="en-AU"/>
        </w:rPr>
        <w:t>a</w:t>
      </w:r>
      <w:proofErr w:type="spellEnd"/>
      <w:r w:rsidR="00A96834">
        <w:rPr>
          <w:rFonts w:asciiTheme="majorBidi" w:hAnsiTheme="majorBidi" w:cstheme="majorBidi"/>
          <w:lang w:val="en-AU"/>
        </w:rPr>
        <w:t xml:space="preserve"> only, </w:t>
      </w:r>
      <w:r w:rsidR="008F6588">
        <w:rPr>
          <w:rFonts w:asciiTheme="majorBidi" w:hAnsiTheme="majorBidi" w:cstheme="majorBidi"/>
          <w:lang w:val="en-AU"/>
        </w:rPr>
        <w:t xml:space="preserve">obesity alone, or </w:t>
      </w:r>
      <w:r w:rsidR="00D23ADB">
        <w:rPr>
          <w:rFonts w:asciiTheme="majorBidi" w:hAnsiTheme="majorBidi" w:cstheme="majorBidi"/>
          <w:lang w:val="en-AU"/>
        </w:rPr>
        <w:t xml:space="preserve">none of </w:t>
      </w:r>
      <w:proofErr w:type="spellStart"/>
      <w:r w:rsidR="00D23ADB">
        <w:rPr>
          <w:rFonts w:asciiTheme="majorBidi" w:hAnsiTheme="majorBidi" w:cstheme="majorBidi"/>
          <w:lang w:val="en-AU"/>
        </w:rPr>
        <w:t>sarcopenia</w:t>
      </w:r>
      <w:proofErr w:type="spellEnd"/>
      <w:r w:rsidR="00D23ADB">
        <w:rPr>
          <w:rFonts w:asciiTheme="majorBidi" w:hAnsiTheme="majorBidi" w:cstheme="majorBidi"/>
          <w:lang w:val="en-AU"/>
        </w:rPr>
        <w:t xml:space="preserve">, </w:t>
      </w:r>
      <w:proofErr w:type="spellStart"/>
      <w:r w:rsidR="00D23ADB">
        <w:rPr>
          <w:rFonts w:asciiTheme="majorBidi" w:hAnsiTheme="majorBidi" w:cstheme="majorBidi"/>
          <w:lang w:val="en-AU"/>
        </w:rPr>
        <w:t>dynapenia</w:t>
      </w:r>
      <w:proofErr w:type="spellEnd"/>
      <w:r w:rsidR="00D23ADB">
        <w:rPr>
          <w:rFonts w:asciiTheme="majorBidi" w:hAnsiTheme="majorBidi" w:cstheme="majorBidi"/>
          <w:lang w:val="en-AU"/>
        </w:rPr>
        <w:t xml:space="preserve"> or obesity.</w:t>
      </w:r>
    </w:p>
    <w:p w14:paraId="176E398C" w14:textId="77777777" w:rsidR="00575EFD" w:rsidRPr="008F2447" w:rsidRDefault="00575EFD">
      <w:pPr>
        <w:spacing w:line="480" w:lineRule="auto"/>
        <w:rPr>
          <w:rFonts w:asciiTheme="majorBidi" w:hAnsiTheme="majorBidi" w:cstheme="majorBidi"/>
        </w:rPr>
      </w:pPr>
    </w:p>
    <w:p w14:paraId="7AA2619C" w14:textId="77777777" w:rsidR="00575EFD" w:rsidRPr="008F2447" w:rsidRDefault="00944A64">
      <w:pPr>
        <w:spacing w:line="480" w:lineRule="auto"/>
        <w:rPr>
          <w:rFonts w:asciiTheme="majorBidi" w:hAnsiTheme="majorBidi" w:cstheme="majorBidi"/>
          <w:b/>
          <w:bCs/>
          <w:i/>
          <w:iCs/>
        </w:rPr>
      </w:pPr>
      <w:r w:rsidRPr="008F2447">
        <w:rPr>
          <w:rFonts w:asciiTheme="majorBidi" w:hAnsiTheme="majorBidi" w:cstheme="majorBidi"/>
          <w:b/>
          <w:bCs/>
          <w:i/>
          <w:iCs/>
        </w:rPr>
        <w:t>Statistical analyses</w:t>
      </w:r>
    </w:p>
    <w:p w14:paraId="42878EE4" w14:textId="4CE59125" w:rsidR="00575EFD" w:rsidRPr="008F2447" w:rsidRDefault="00944A64" w:rsidP="00A96834">
      <w:pPr>
        <w:spacing w:line="480" w:lineRule="auto"/>
        <w:ind w:firstLine="720"/>
        <w:rPr>
          <w:rFonts w:asciiTheme="majorBidi" w:hAnsiTheme="majorBidi" w:cstheme="majorBidi"/>
        </w:rPr>
      </w:pPr>
      <w:r w:rsidRPr="008F2447">
        <w:rPr>
          <w:rFonts w:asciiTheme="majorBidi" w:hAnsiTheme="majorBidi" w:cstheme="majorBidi"/>
        </w:rPr>
        <w:t xml:space="preserve">Continuous and categorical variables were compared across categories of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(SO)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(DO) using one-way ANOVA and Chi-square tests, respectively. </w:t>
      </w:r>
      <w:proofErr w:type="spellStart"/>
      <w:r w:rsidRPr="008F2447">
        <w:rPr>
          <w:rFonts w:asciiTheme="majorBidi" w:hAnsiTheme="majorBidi" w:cstheme="majorBidi"/>
        </w:rPr>
        <w:t>Bonferroni</w:t>
      </w:r>
      <w:proofErr w:type="spellEnd"/>
      <w:r w:rsidRPr="008F2447">
        <w:rPr>
          <w:rFonts w:asciiTheme="majorBidi" w:hAnsiTheme="majorBidi" w:cstheme="majorBidi"/>
        </w:rPr>
        <w:t xml:space="preserve"> post-hoc tests were used to identify between-group differences when </w:t>
      </w:r>
      <w:r w:rsidRPr="008F2447">
        <w:rPr>
          <w:rFonts w:asciiTheme="majorBidi" w:hAnsiTheme="majorBidi" w:cstheme="majorBidi"/>
        </w:rPr>
        <w:lastRenderedPageBreak/>
        <w:t xml:space="preserve">significant trends were observed. </w:t>
      </w:r>
      <w:r w:rsidR="00A96834">
        <w:rPr>
          <w:rFonts w:asciiTheme="majorBidi" w:hAnsiTheme="majorBidi" w:cstheme="majorBidi"/>
        </w:rPr>
        <w:t xml:space="preserve">Sex-stratified </w:t>
      </w:r>
      <w:r w:rsidRPr="008F2447">
        <w:rPr>
          <w:rFonts w:asciiTheme="majorBidi" w:hAnsiTheme="majorBidi" w:cstheme="majorBidi"/>
        </w:rPr>
        <w:t xml:space="preserve">multivariable linear regression analyses examined differences in baseline and five-year change in hip, spine and total body BMD for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w:t>
      </w:r>
      <w:r w:rsidR="00A96834">
        <w:rPr>
          <w:rFonts w:asciiTheme="majorBidi" w:hAnsiTheme="majorBidi" w:cstheme="majorBidi"/>
        </w:rPr>
        <w:t xml:space="preserve"> (and combined </w:t>
      </w:r>
      <w:proofErr w:type="spellStart"/>
      <w:r w:rsidR="00A96834">
        <w:rPr>
          <w:rFonts w:asciiTheme="majorBidi" w:hAnsiTheme="majorBidi" w:cstheme="majorBidi"/>
        </w:rPr>
        <w:t>sarcopenic</w:t>
      </w:r>
      <w:proofErr w:type="spellEnd"/>
      <w:r w:rsidR="00A96834">
        <w:rPr>
          <w:rFonts w:asciiTheme="majorBidi" w:hAnsiTheme="majorBidi" w:cstheme="majorBidi"/>
        </w:rPr>
        <w:t xml:space="preserve"> and </w:t>
      </w:r>
      <w:proofErr w:type="spellStart"/>
      <w:r w:rsidR="00A96834">
        <w:rPr>
          <w:rFonts w:asciiTheme="majorBidi" w:hAnsiTheme="majorBidi" w:cstheme="majorBidi"/>
        </w:rPr>
        <w:t>dynapenic</w:t>
      </w:r>
      <w:proofErr w:type="spellEnd"/>
      <w:r w:rsidR="00A96834">
        <w:rPr>
          <w:rFonts w:asciiTheme="majorBidi" w:hAnsiTheme="majorBidi" w:cstheme="majorBidi"/>
        </w:rPr>
        <w:t xml:space="preserve"> obesity)</w:t>
      </w:r>
      <w:r w:rsidRPr="008F2447">
        <w:rPr>
          <w:rFonts w:asciiTheme="majorBidi" w:hAnsiTheme="majorBidi" w:cstheme="majorBidi"/>
        </w:rPr>
        <w:t xml:space="preserve"> categories, with non-</w:t>
      </w:r>
      <w:proofErr w:type="spellStart"/>
      <w:r w:rsidRPr="008F2447">
        <w:rPr>
          <w:rFonts w:asciiTheme="majorBidi" w:hAnsiTheme="majorBidi" w:cstheme="majorBidi"/>
        </w:rPr>
        <w:t>sarcopenic</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as the reference groups, respectively. A separate analysis was performed with the obese alone category as the reference group in order to identify potential BMD differences between </w:t>
      </w:r>
      <w:proofErr w:type="spellStart"/>
      <w:r w:rsidRPr="008F2447">
        <w:rPr>
          <w:rFonts w:asciiTheme="majorBidi" w:hAnsiTheme="majorBidi" w:cstheme="majorBidi"/>
        </w:rPr>
        <w:t>sarcopenic</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and obese alone</w:t>
      </w:r>
      <w:r w:rsidR="00A96834">
        <w:rPr>
          <w:rFonts w:asciiTheme="majorBidi" w:hAnsiTheme="majorBidi" w:cstheme="majorBidi"/>
        </w:rPr>
        <w:t>. These</w:t>
      </w:r>
      <w:r w:rsidRPr="008F2447">
        <w:rPr>
          <w:rFonts w:asciiTheme="majorBidi" w:hAnsiTheme="majorBidi" w:cstheme="majorBidi"/>
        </w:rPr>
        <w:t xml:space="preserve"> analyses were adjusted for age, </w:t>
      </w:r>
      <w:r w:rsidR="00A96834">
        <w:rPr>
          <w:rFonts w:asciiTheme="majorBidi" w:hAnsiTheme="majorBidi" w:cstheme="majorBidi"/>
        </w:rPr>
        <w:t xml:space="preserve">number of comorbidities, falls risk score </w:t>
      </w:r>
      <w:r w:rsidRPr="008F2447">
        <w:rPr>
          <w:rFonts w:asciiTheme="majorBidi" w:hAnsiTheme="majorBidi" w:cstheme="majorBidi"/>
        </w:rPr>
        <w:t xml:space="preserve">physical activity, smoking status, self-reported diabetes, alcohol use and pain score, and five-year change in BMD analyses were further adjusted for baseline BMD and change in body weight. </w:t>
      </w:r>
      <w:r w:rsidR="00A96834">
        <w:rPr>
          <w:rFonts w:asciiTheme="majorBidi" w:hAnsiTheme="majorBidi" w:cstheme="majorBidi"/>
        </w:rPr>
        <w:t xml:space="preserve">Sex-stratified </w:t>
      </w:r>
      <w:r w:rsidRPr="008F2447">
        <w:rPr>
          <w:rFonts w:asciiTheme="majorBidi" w:hAnsiTheme="majorBidi" w:cstheme="majorBidi"/>
        </w:rPr>
        <w:t xml:space="preserve">Poisson regression </w:t>
      </w:r>
      <w:r w:rsidR="00A96834" w:rsidRPr="008F2447">
        <w:rPr>
          <w:rFonts w:asciiTheme="majorBidi" w:hAnsiTheme="majorBidi" w:cstheme="majorBidi"/>
        </w:rPr>
        <w:t>w</w:t>
      </w:r>
      <w:r w:rsidR="00A96834">
        <w:rPr>
          <w:rFonts w:asciiTheme="majorBidi" w:hAnsiTheme="majorBidi" w:cstheme="majorBidi"/>
        </w:rPr>
        <w:t xml:space="preserve">as </w:t>
      </w:r>
      <w:r w:rsidRPr="008F2447">
        <w:rPr>
          <w:rFonts w:asciiTheme="majorBidi" w:hAnsiTheme="majorBidi" w:cstheme="majorBidi"/>
        </w:rPr>
        <w:t xml:space="preserve">performed to obtain incident rate ratios for self-reported </w:t>
      </w:r>
      <w:r w:rsidR="00A96834">
        <w:rPr>
          <w:rFonts w:asciiTheme="majorBidi" w:hAnsiTheme="majorBidi" w:cstheme="majorBidi"/>
        </w:rPr>
        <w:t xml:space="preserve">non-vertebral </w:t>
      </w:r>
      <w:r w:rsidRPr="008F2447">
        <w:rPr>
          <w:rFonts w:asciiTheme="majorBidi" w:hAnsiTheme="majorBidi" w:cstheme="majorBidi"/>
        </w:rPr>
        <w:t xml:space="preserve">fractures over 10 years according to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categories. These analyses were adjusted </w:t>
      </w:r>
      <w:r w:rsidR="00A96834">
        <w:rPr>
          <w:rFonts w:asciiTheme="majorBidi" w:hAnsiTheme="majorBidi" w:cstheme="majorBidi"/>
        </w:rPr>
        <w:t xml:space="preserve">initially for </w:t>
      </w:r>
      <w:r w:rsidRPr="008F2447">
        <w:rPr>
          <w:rFonts w:asciiTheme="majorBidi" w:hAnsiTheme="majorBidi" w:cstheme="majorBidi"/>
        </w:rPr>
        <w:t xml:space="preserve">baseline age and </w:t>
      </w:r>
      <w:r w:rsidR="00A96834">
        <w:rPr>
          <w:rFonts w:asciiTheme="majorBidi" w:hAnsiTheme="majorBidi" w:cstheme="majorBidi"/>
        </w:rPr>
        <w:t xml:space="preserve">falls risk score, and subsequently total hip BMD, to determine whether falls or bone health mediated associations of </w:t>
      </w:r>
      <w:proofErr w:type="spellStart"/>
      <w:r w:rsidR="00A96834">
        <w:rPr>
          <w:rFonts w:asciiTheme="majorBidi" w:hAnsiTheme="majorBidi" w:cstheme="majorBidi"/>
        </w:rPr>
        <w:t>sarcopenic</w:t>
      </w:r>
      <w:proofErr w:type="spellEnd"/>
      <w:r w:rsidR="00A96834">
        <w:rPr>
          <w:rFonts w:asciiTheme="majorBidi" w:hAnsiTheme="majorBidi" w:cstheme="majorBidi"/>
        </w:rPr>
        <w:t xml:space="preserve"> and </w:t>
      </w:r>
      <w:proofErr w:type="spellStart"/>
      <w:r w:rsidR="00A96834">
        <w:rPr>
          <w:rFonts w:asciiTheme="majorBidi" w:hAnsiTheme="majorBidi" w:cstheme="majorBidi"/>
        </w:rPr>
        <w:t>dynapenic</w:t>
      </w:r>
      <w:proofErr w:type="spellEnd"/>
      <w:r w:rsidR="00A96834">
        <w:rPr>
          <w:rFonts w:asciiTheme="majorBidi" w:hAnsiTheme="majorBidi" w:cstheme="majorBidi"/>
        </w:rPr>
        <w:t xml:space="preserve"> obesity with </w:t>
      </w:r>
      <w:r w:rsidR="00BD5C93">
        <w:rPr>
          <w:rFonts w:asciiTheme="majorBidi" w:hAnsiTheme="majorBidi" w:cstheme="majorBidi"/>
        </w:rPr>
        <w:t>incident</w:t>
      </w:r>
      <w:r w:rsidR="00A96834">
        <w:rPr>
          <w:rFonts w:asciiTheme="majorBidi" w:hAnsiTheme="majorBidi" w:cstheme="majorBidi"/>
        </w:rPr>
        <w:t xml:space="preserve"> fracture rates</w:t>
      </w:r>
      <w:r w:rsidRPr="008F2447">
        <w:rPr>
          <w:rFonts w:asciiTheme="majorBidi" w:hAnsiTheme="majorBidi" w:cstheme="majorBidi"/>
        </w:rPr>
        <w:t>.</w:t>
      </w:r>
    </w:p>
    <w:p w14:paraId="658185FC" w14:textId="77777777" w:rsidR="00575EFD" w:rsidRPr="008F2447" w:rsidRDefault="00944A64">
      <w:pPr>
        <w:spacing w:line="480" w:lineRule="auto"/>
        <w:ind w:firstLine="720"/>
        <w:rPr>
          <w:rFonts w:asciiTheme="majorBidi" w:hAnsiTheme="majorBidi" w:cstheme="majorBidi"/>
        </w:rPr>
      </w:pPr>
      <w:r w:rsidRPr="008F2447">
        <w:rPr>
          <w:rFonts w:asciiTheme="majorBidi" w:hAnsiTheme="majorBidi" w:cstheme="majorBidi"/>
        </w:rPr>
        <w:t>P values &lt;0.05 or 95% confidence intervals (CI) not including the null point were considered statistically significant. All analyses were performed in SPSS Statistics 23 (IBM, NY, USA).</w:t>
      </w:r>
    </w:p>
    <w:p w14:paraId="34FE077D" w14:textId="77777777" w:rsidR="00575EFD" w:rsidRPr="008F2447" w:rsidRDefault="00575EFD">
      <w:pPr>
        <w:spacing w:line="480" w:lineRule="auto"/>
        <w:rPr>
          <w:rFonts w:asciiTheme="majorBidi" w:hAnsiTheme="majorBidi" w:cstheme="majorBidi"/>
        </w:rPr>
      </w:pPr>
    </w:p>
    <w:p w14:paraId="10721251" w14:textId="77777777" w:rsidR="00575EFD" w:rsidRPr="008F2447" w:rsidRDefault="00944A64">
      <w:pPr>
        <w:rPr>
          <w:rFonts w:asciiTheme="majorBidi" w:eastAsiaTheme="majorEastAsia" w:hAnsiTheme="majorBidi" w:cstheme="majorBidi"/>
          <w:b/>
          <w:bCs/>
        </w:rPr>
      </w:pPr>
      <w:r w:rsidRPr="008F2447">
        <w:rPr>
          <w:rFonts w:asciiTheme="majorBidi" w:hAnsiTheme="majorBidi" w:cstheme="majorBidi"/>
        </w:rPr>
        <w:br w:type="page"/>
      </w:r>
    </w:p>
    <w:p w14:paraId="033560FB" w14:textId="77777777" w:rsidR="00575EFD" w:rsidRPr="008F2447" w:rsidRDefault="00944A64">
      <w:pPr>
        <w:pStyle w:val="Heading1"/>
        <w:spacing w:line="480" w:lineRule="auto"/>
        <w:rPr>
          <w:rFonts w:asciiTheme="majorBidi" w:hAnsiTheme="majorBidi"/>
          <w:color w:val="auto"/>
          <w:sz w:val="24"/>
          <w:szCs w:val="24"/>
        </w:rPr>
      </w:pPr>
      <w:r w:rsidRPr="008F2447">
        <w:rPr>
          <w:rFonts w:asciiTheme="majorBidi" w:hAnsiTheme="majorBidi"/>
          <w:color w:val="auto"/>
          <w:sz w:val="24"/>
          <w:szCs w:val="24"/>
        </w:rPr>
        <w:lastRenderedPageBreak/>
        <w:t>Results</w:t>
      </w:r>
    </w:p>
    <w:p w14:paraId="31D62F76" w14:textId="3F1EC4DD" w:rsidR="00575EFD" w:rsidRPr="008F2447" w:rsidRDefault="00944A64" w:rsidP="005B7B99">
      <w:pPr>
        <w:spacing w:line="480" w:lineRule="auto"/>
        <w:ind w:firstLine="720"/>
        <w:rPr>
          <w:rFonts w:asciiTheme="majorBidi" w:hAnsiTheme="majorBidi" w:cstheme="majorBidi"/>
        </w:rPr>
      </w:pPr>
      <w:r w:rsidRPr="008F2447">
        <w:rPr>
          <w:rFonts w:asciiTheme="majorBidi" w:hAnsiTheme="majorBidi" w:cstheme="majorBidi"/>
        </w:rPr>
        <w:t>One thousand and ninety-nine participants attended baseline data collection clinics. Of these, 1089 (mean ± SD age 62 ± 7 years; 51% female) completed DXA scans</w:t>
      </w:r>
      <w:r w:rsidRPr="008F2447">
        <w:rPr>
          <w:rFonts w:asciiTheme="majorBidi" w:hAnsiTheme="majorBidi" w:cstheme="majorBidi"/>
          <w:lang w:val="en-AU"/>
        </w:rPr>
        <w:t xml:space="preserve"> and were included in our analyses</w:t>
      </w:r>
      <w:r w:rsidRPr="008F2447">
        <w:rPr>
          <w:rFonts w:asciiTheme="majorBidi" w:hAnsiTheme="majorBidi" w:cstheme="majorBidi"/>
        </w:rPr>
        <w:t xml:space="preserve">. According to our previously reported cut-points, the prevalence of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was </w:t>
      </w:r>
      <w:r w:rsidR="00CA08A5">
        <w:rPr>
          <w:rFonts w:asciiTheme="majorBidi" w:hAnsiTheme="majorBidi" w:cstheme="majorBidi"/>
        </w:rPr>
        <w:t>12</w:t>
      </w:r>
      <w:r w:rsidRPr="008F2447">
        <w:rPr>
          <w:rFonts w:asciiTheme="majorBidi" w:hAnsiTheme="majorBidi" w:cstheme="majorBidi"/>
        </w:rPr>
        <w:t>% and 13% respectively</w:t>
      </w:r>
      <w:r w:rsidR="00BD5C93">
        <w:rPr>
          <w:rFonts w:asciiTheme="majorBidi" w:hAnsiTheme="majorBidi" w:cstheme="majorBidi"/>
        </w:rPr>
        <w:t>, and</w:t>
      </w:r>
      <w:r w:rsidR="00577BC8" w:rsidRPr="008F2447">
        <w:rPr>
          <w:rFonts w:asciiTheme="majorBidi" w:hAnsiTheme="majorBidi" w:cstheme="majorBidi"/>
        </w:rPr>
        <w:t xml:space="preserve"> </w:t>
      </w:r>
      <w:r w:rsidR="00577BC8">
        <w:rPr>
          <w:rFonts w:asciiTheme="majorBidi" w:hAnsiTheme="majorBidi" w:cstheme="majorBidi"/>
        </w:rPr>
        <w:t xml:space="preserve">57 </w:t>
      </w:r>
      <w:r w:rsidR="00CA08A5">
        <w:rPr>
          <w:rFonts w:asciiTheme="majorBidi" w:hAnsiTheme="majorBidi" w:cstheme="majorBidi"/>
        </w:rPr>
        <w:t xml:space="preserve">(5%) </w:t>
      </w:r>
      <w:r w:rsidR="00577BC8">
        <w:rPr>
          <w:rFonts w:asciiTheme="majorBidi" w:hAnsiTheme="majorBidi" w:cstheme="majorBidi"/>
        </w:rPr>
        <w:t xml:space="preserve">participants had both </w:t>
      </w:r>
      <w:proofErr w:type="spellStart"/>
      <w:r w:rsidR="00577BC8">
        <w:rPr>
          <w:rFonts w:asciiTheme="majorBidi" w:hAnsiTheme="majorBidi" w:cstheme="majorBidi"/>
        </w:rPr>
        <w:t>sarcopenic</w:t>
      </w:r>
      <w:proofErr w:type="spellEnd"/>
      <w:r w:rsidR="00577BC8">
        <w:rPr>
          <w:rFonts w:asciiTheme="majorBidi" w:hAnsiTheme="majorBidi" w:cstheme="majorBidi"/>
        </w:rPr>
        <w:t xml:space="preserve"> and </w:t>
      </w:r>
      <w:proofErr w:type="spellStart"/>
      <w:r w:rsidR="00577BC8">
        <w:rPr>
          <w:rFonts w:asciiTheme="majorBidi" w:hAnsiTheme="majorBidi" w:cstheme="majorBidi"/>
        </w:rPr>
        <w:t>dynapenic</w:t>
      </w:r>
      <w:proofErr w:type="spellEnd"/>
      <w:r w:rsidR="00577BC8">
        <w:rPr>
          <w:rFonts w:asciiTheme="majorBidi" w:hAnsiTheme="majorBidi" w:cstheme="majorBidi"/>
        </w:rPr>
        <w:t xml:space="preserve"> obesity. </w:t>
      </w:r>
      <w:r w:rsidRPr="008F2447">
        <w:rPr>
          <w:rFonts w:asciiTheme="majorBidi" w:hAnsiTheme="majorBidi" w:cstheme="majorBidi"/>
        </w:rPr>
        <w:t xml:space="preserve">Amongst all participants, 22% and 39% had baseline osteoporosis or osteopenia at total hip and spine, respectively. Prevalence of osteoporosis/osteopenia was significantly higher in females than males at both the hip (29 vs 14%, respectively, P = </w:t>
      </w:r>
      <w:r w:rsidRPr="008F2447">
        <w:rPr>
          <w:rFonts w:asciiTheme="majorBidi" w:hAnsiTheme="majorBidi" w:cstheme="majorBidi"/>
          <w:lang w:val="en-AU"/>
        </w:rPr>
        <w:t>&lt;</w:t>
      </w:r>
      <w:r w:rsidRPr="008F2447">
        <w:rPr>
          <w:rFonts w:asciiTheme="majorBidi" w:hAnsiTheme="majorBidi" w:cstheme="majorBidi"/>
        </w:rPr>
        <w:t>0.00</w:t>
      </w:r>
      <w:r w:rsidRPr="008F2447">
        <w:rPr>
          <w:rFonts w:asciiTheme="majorBidi" w:hAnsiTheme="majorBidi" w:cstheme="majorBidi"/>
          <w:lang w:val="en-AU"/>
        </w:rPr>
        <w:t>1</w:t>
      </w:r>
      <w:r w:rsidRPr="008F2447">
        <w:rPr>
          <w:rFonts w:asciiTheme="majorBidi" w:hAnsiTheme="majorBidi" w:cstheme="majorBidi"/>
        </w:rPr>
        <w:t xml:space="preserve">) and spine (44 vs 34%, respectively, P = 0.001). </w:t>
      </w:r>
    </w:p>
    <w:p w14:paraId="00E79724" w14:textId="4FD814A4" w:rsidR="00575EFD" w:rsidRPr="008F2447" w:rsidRDefault="00944A64" w:rsidP="00724382">
      <w:pPr>
        <w:spacing w:line="480" w:lineRule="auto"/>
        <w:ind w:firstLine="720"/>
        <w:rPr>
          <w:rFonts w:asciiTheme="majorBidi" w:hAnsiTheme="majorBidi" w:cstheme="majorBidi"/>
        </w:rPr>
      </w:pPr>
      <w:r w:rsidRPr="008F2447">
        <w:rPr>
          <w:rFonts w:asciiTheme="majorBidi" w:hAnsiTheme="majorBidi" w:cstheme="majorBidi"/>
        </w:rPr>
        <w:t xml:space="preserve">Table 1 presents baseline descriptive variables according to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categories. </w:t>
      </w:r>
      <w:r w:rsidR="001F6320" w:rsidRPr="008F2447">
        <w:rPr>
          <w:rFonts w:asciiTheme="majorBidi" w:hAnsiTheme="majorBidi" w:cstheme="majorBidi"/>
        </w:rPr>
        <w:t xml:space="preserve">Both </w:t>
      </w:r>
      <w:proofErr w:type="spellStart"/>
      <w:r w:rsidR="001F6320" w:rsidRPr="008F2447">
        <w:rPr>
          <w:rFonts w:asciiTheme="majorBidi" w:hAnsiTheme="majorBidi" w:cstheme="majorBidi"/>
        </w:rPr>
        <w:t>s</w:t>
      </w:r>
      <w:r w:rsidRPr="008F2447">
        <w:rPr>
          <w:rFonts w:asciiTheme="majorBidi" w:hAnsiTheme="majorBidi" w:cstheme="majorBidi"/>
        </w:rPr>
        <w:t>arcopenic</w:t>
      </w:r>
      <w:proofErr w:type="spellEnd"/>
      <w:r w:rsidR="001F6320" w:rsidRPr="008F2447">
        <w:rPr>
          <w:rFonts w:asciiTheme="majorBidi" w:hAnsiTheme="majorBidi" w:cstheme="majorBidi"/>
        </w:rPr>
        <w:t xml:space="preserve"> obese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w:t>
      </w:r>
      <w:r w:rsidR="001F6320" w:rsidRPr="008F2447">
        <w:rPr>
          <w:rFonts w:asciiTheme="majorBidi" w:hAnsiTheme="majorBidi" w:cstheme="majorBidi"/>
        </w:rPr>
        <w:t>,</w:t>
      </w:r>
      <w:r w:rsidRPr="008F2447">
        <w:rPr>
          <w:rFonts w:asciiTheme="majorBidi" w:hAnsiTheme="majorBidi" w:cstheme="majorBidi"/>
        </w:rPr>
        <w:t xml:space="preserve"> and </w:t>
      </w:r>
      <w:proofErr w:type="spellStart"/>
      <w:r w:rsidRPr="008F2447">
        <w:rPr>
          <w:rFonts w:asciiTheme="majorBidi" w:hAnsiTheme="majorBidi" w:cstheme="majorBidi"/>
        </w:rPr>
        <w:t>sarcopenic</w:t>
      </w:r>
      <w:proofErr w:type="spellEnd"/>
      <w:r w:rsidR="001F6320" w:rsidRPr="008F2447">
        <w:rPr>
          <w:rFonts w:asciiTheme="majorBidi" w:hAnsiTheme="majorBidi" w:cstheme="majorBidi"/>
        </w:rPr>
        <w:t xml:space="preserve"> alone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alone</w:t>
      </w:r>
      <w:r w:rsidR="001F6320" w:rsidRPr="008F2447">
        <w:rPr>
          <w:rFonts w:asciiTheme="majorBidi" w:hAnsiTheme="majorBidi" w:cstheme="majorBidi"/>
        </w:rPr>
        <w:t>,</w:t>
      </w:r>
      <w:r w:rsidRPr="008F2447">
        <w:rPr>
          <w:rFonts w:asciiTheme="majorBidi" w:hAnsiTheme="majorBidi" w:cstheme="majorBidi"/>
        </w:rPr>
        <w:t xml:space="preserve"> participants were significantly older than non-</w:t>
      </w:r>
      <w:proofErr w:type="spellStart"/>
      <w:r w:rsidRPr="008F2447">
        <w:rPr>
          <w:rFonts w:asciiTheme="majorBidi" w:hAnsiTheme="majorBidi" w:cstheme="majorBidi"/>
        </w:rPr>
        <w:t>sarcopenic</w:t>
      </w:r>
      <w:proofErr w:type="spellEnd"/>
      <w:r w:rsidR="001F6320" w:rsidRPr="008F2447">
        <w:rPr>
          <w:rFonts w:asciiTheme="majorBidi" w:hAnsiTheme="majorBidi" w:cstheme="majorBidi"/>
        </w:rPr>
        <w:t xml:space="preserve"> non-obese and 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w:t>
      </w:r>
      <w:r w:rsidR="001F6320" w:rsidRPr="008F2447">
        <w:rPr>
          <w:rFonts w:asciiTheme="majorBidi" w:hAnsiTheme="majorBidi" w:cstheme="majorBidi"/>
        </w:rPr>
        <w:t>,</w:t>
      </w:r>
      <w:r w:rsidRPr="008F2447">
        <w:rPr>
          <w:rFonts w:asciiTheme="majorBidi" w:hAnsiTheme="majorBidi" w:cstheme="majorBidi"/>
        </w:rPr>
        <w:t xml:space="preserve"> </w:t>
      </w:r>
      <w:r w:rsidR="001F6320" w:rsidRPr="008F2447">
        <w:rPr>
          <w:rFonts w:asciiTheme="majorBidi" w:hAnsiTheme="majorBidi" w:cstheme="majorBidi"/>
        </w:rPr>
        <w:t xml:space="preserve">as well as </w:t>
      </w:r>
      <w:r w:rsidRPr="008F2447">
        <w:rPr>
          <w:rFonts w:asciiTheme="majorBidi" w:hAnsiTheme="majorBidi" w:cstheme="majorBidi"/>
        </w:rPr>
        <w:t xml:space="preserve">obese alone participants. There was a higher proportion of females in the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but not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group compared with all other categories. </w:t>
      </w:r>
      <w:r w:rsidR="00724382">
        <w:rPr>
          <w:rFonts w:asciiTheme="majorBidi" w:hAnsiTheme="majorBidi" w:cstheme="majorBidi"/>
        </w:rPr>
        <w:t xml:space="preserve">Number of self-reported comorbidities was significantly higher for </w:t>
      </w:r>
      <w:proofErr w:type="spellStart"/>
      <w:r w:rsidR="00724382">
        <w:rPr>
          <w:rFonts w:asciiTheme="majorBidi" w:hAnsiTheme="majorBidi" w:cstheme="majorBidi"/>
        </w:rPr>
        <w:t>sarcopenic</w:t>
      </w:r>
      <w:proofErr w:type="spellEnd"/>
      <w:r w:rsidR="00724382">
        <w:rPr>
          <w:rFonts w:asciiTheme="majorBidi" w:hAnsiTheme="majorBidi" w:cstheme="majorBidi"/>
        </w:rPr>
        <w:t xml:space="preserve"> obese participants compared to </w:t>
      </w:r>
      <w:proofErr w:type="spellStart"/>
      <w:r w:rsidR="00724382">
        <w:rPr>
          <w:rFonts w:asciiTheme="majorBidi" w:hAnsiTheme="majorBidi" w:cstheme="majorBidi"/>
        </w:rPr>
        <w:t>sarcopenic</w:t>
      </w:r>
      <w:proofErr w:type="spellEnd"/>
      <w:r w:rsidR="00724382">
        <w:rPr>
          <w:rFonts w:asciiTheme="majorBidi" w:hAnsiTheme="majorBidi" w:cstheme="majorBidi"/>
        </w:rPr>
        <w:t xml:space="preserve"> alone and non-</w:t>
      </w:r>
      <w:proofErr w:type="spellStart"/>
      <w:r w:rsidR="00724382">
        <w:rPr>
          <w:rFonts w:asciiTheme="majorBidi" w:hAnsiTheme="majorBidi" w:cstheme="majorBidi"/>
        </w:rPr>
        <w:t>sarcopenic</w:t>
      </w:r>
      <w:proofErr w:type="spellEnd"/>
      <w:r w:rsidR="00724382">
        <w:rPr>
          <w:rFonts w:asciiTheme="majorBidi" w:hAnsiTheme="majorBidi" w:cstheme="majorBidi"/>
        </w:rPr>
        <w:t xml:space="preserve"> non-obese, and was also higher for </w:t>
      </w:r>
      <w:proofErr w:type="spellStart"/>
      <w:r w:rsidR="00724382">
        <w:rPr>
          <w:rFonts w:asciiTheme="majorBidi" w:hAnsiTheme="majorBidi" w:cstheme="majorBidi"/>
        </w:rPr>
        <w:t>dynapenic</w:t>
      </w:r>
      <w:proofErr w:type="spellEnd"/>
      <w:r w:rsidR="00724382">
        <w:rPr>
          <w:rFonts w:asciiTheme="majorBidi" w:hAnsiTheme="majorBidi" w:cstheme="majorBidi"/>
        </w:rPr>
        <w:t xml:space="preserve"> obese compared to all other groups.</w:t>
      </w:r>
      <w:r w:rsidRPr="008F2447">
        <w:rPr>
          <w:rFonts w:asciiTheme="majorBidi" w:hAnsiTheme="majorBidi" w:cstheme="majorBidi"/>
        </w:rPr>
        <w:t xml:space="preserve">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individuals were significantly more likely to report pain compared with both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and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alone, while obese alone participants were significantly more likely to have pain than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alone, but not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Participants in both the obese alone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groups were significantly more likely to have pain compared to 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The highest prevalence of total hip and spine osteoporosis/osteopenia was consistently observed in the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alone groups, while the lowest prevalence of osteoporosis/osteopenia was consistently observed in the obese alone groups. A significantly higher proportion of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individuals also had total hip </w:t>
      </w:r>
      <w:r w:rsidRPr="008F2447">
        <w:rPr>
          <w:rFonts w:asciiTheme="majorBidi" w:hAnsiTheme="majorBidi" w:cstheme="majorBidi"/>
        </w:rPr>
        <w:lastRenderedPageBreak/>
        <w:t>osteoporosis/osteopenia compared with obese alone participants.</w:t>
      </w:r>
      <w:r w:rsidR="001F6320" w:rsidRPr="008F2447">
        <w:rPr>
          <w:rFonts w:asciiTheme="majorBidi" w:hAnsiTheme="majorBidi" w:cstheme="majorBidi"/>
        </w:rPr>
        <w:t xml:space="preserve"> </w:t>
      </w:r>
      <w:r w:rsidRPr="008F2447">
        <w:rPr>
          <w:rFonts w:asciiTheme="majorBidi" w:hAnsiTheme="majorBidi" w:cstheme="majorBidi"/>
        </w:rPr>
        <w:t>Physical activity was significantly higher in non-</w:t>
      </w:r>
      <w:proofErr w:type="spellStart"/>
      <w:r w:rsidRPr="008F2447">
        <w:rPr>
          <w:rFonts w:asciiTheme="majorBidi" w:hAnsiTheme="majorBidi" w:cstheme="majorBidi"/>
        </w:rPr>
        <w:t>sarcopenic</w:t>
      </w:r>
      <w:proofErr w:type="spellEnd"/>
      <w:r w:rsidR="001F6320" w:rsidRPr="008F2447">
        <w:rPr>
          <w:rFonts w:asciiTheme="majorBidi" w:hAnsiTheme="majorBidi" w:cstheme="majorBidi"/>
        </w:rPr>
        <w:t xml:space="preserve"> non-obese and 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participants compared with all other groups, and was also significantly higher in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alone compared with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participants. </w:t>
      </w:r>
      <w:r w:rsidR="00724382">
        <w:rPr>
          <w:rFonts w:asciiTheme="majorBidi" w:hAnsiTheme="majorBidi" w:cstheme="majorBidi"/>
        </w:rPr>
        <w:t xml:space="preserve">Falls risk scores did not differ across </w:t>
      </w:r>
      <w:proofErr w:type="spellStart"/>
      <w:r w:rsidR="00724382">
        <w:rPr>
          <w:rFonts w:asciiTheme="majorBidi" w:hAnsiTheme="majorBidi" w:cstheme="majorBidi"/>
        </w:rPr>
        <w:t>sarcopenic</w:t>
      </w:r>
      <w:proofErr w:type="spellEnd"/>
      <w:r w:rsidR="00724382">
        <w:rPr>
          <w:rFonts w:asciiTheme="majorBidi" w:hAnsiTheme="majorBidi" w:cstheme="majorBidi"/>
        </w:rPr>
        <w:t xml:space="preserve"> obesity categories, but </w:t>
      </w:r>
      <w:proofErr w:type="spellStart"/>
      <w:r w:rsidR="00724382">
        <w:rPr>
          <w:rFonts w:asciiTheme="majorBidi" w:hAnsiTheme="majorBidi" w:cstheme="majorBidi"/>
        </w:rPr>
        <w:t>dynapenic</w:t>
      </w:r>
      <w:proofErr w:type="spellEnd"/>
      <w:r w:rsidR="00724382">
        <w:rPr>
          <w:rFonts w:asciiTheme="majorBidi" w:hAnsiTheme="majorBidi" w:cstheme="majorBidi"/>
        </w:rPr>
        <w:t xml:space="preserve"> alone and </w:t>
      </w:r>
      <w:proofErr w:type="spellStart"/>
      <w:r w:rsidR="00724382">
        <w:rPr>
          <w:rFonts w:asciiTheme="majorBidi" w:hAnsiTheme="majorBidi" w:cstheme="majorBidi"/>
        </w:rPr>
        <w:t>dynapenic</w:t>
      </w:r>
      <w:proofErr w:type="spellEnd"/>
      <w:r w:rsidR="00724382">
        <w:rPr>
          <w:rFonts w:asciiTheme="majorBidi" w:hAnsiTheme="majorBidi" w:cstheme="majorBidi"/>
        </w:rPr>
        <w:t xml:space="preserve"> obese participants had significantly higher falls risk scores than obese alone and non-</w:t>
      </w:r>
      <w:proofErr w:type="spellStart"/>
      <w:r w:rsidR="00724382">
        <w:rPr>
          <w:rFonts w:asciiTheme="majorBidi" w:hAnsiTheme="majorBidi" w:cstheme="majorBidi"/>
        </w:rPr>
        <w:t>dynapenic</w:t>
      </w:r>
      <w:proofErr w:type="spellEnd"/>
      <w:r w:rsidR="00724382">
        <w:rPr>
          <w:rFonts w:asciiTheme="majorBidi" w:hAnsiTheme="majorBidi" w:cstheme="majorBidi"/>
        </w:rPr>
        <w:t xml:space="preserve"> non-obese.</w:t>
      </w:r>
    </w:p>
    <w:p w14:paraId="4F9DFF51" w14:textId="36FF2BE6" w:rsidR="00575EFD" w:rsidRPr="008F2447" w:rsidRDefault="00944A64" w:rsidP="00920170">
      <w:pPr>
        <w:spacing w:line="480" w:lineRule="auto"/>
        <w:rPr>
          <w:rFonts w:asciiTheme="majorBidi" w:hAnsiTheme="majorBidi" w:cstheme="majorBidi"/>
        </w:rPr>
      </w:pPr>
      <w:r w:rsidRPr="008F2447">
        <w:rPr>
          <w:rFonts w:asciiTheme="majorBidi" w:hAnsiTheme="majorBidi" w:cstheme="majorBidi"/>
        </w:rPr>
        <w:tab/>
        <w:t xml:space="preserve">Table 2 presents multivariable regression coefficients expressing BMD differences at baseline according to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categories. Amongst males, obese alone and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alone participants had significantly higher and lower total hip and spine BMD, respectively, compared with the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group.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males had significantly lower spine BMD compared with obese alone. Only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alone participants had significantly lower total body BMD compared with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and obese alone participants. Compared with 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participants, obese alone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alone males </w:t>
      </w:r>
      <w:r w:rsidR="00DE2E97">
        <w:rPr>
          <w:rFonts w:asciiTheme="majorBidi" w:hAnsiTheme="majorBidi" w:cstheme="majorBidi"/>
        </w:rPr>
        <w:t xml:space="preserve">also </w:t>
      </w:r>
      <w:r w:rsidRPr="008F2447">
        <w:rPr>
          <w:rFonts w:asciiTheme="majorBidi" w:hAnsiTheme="majorBidi" w:cstheme="majorBidi"/>
        </w:rPr>
        <w:t>had significantly higher and lower BMD</w:t>
      </w:r>
      <w:r w:rsidR="00DE2E97">
        <w:rPr>
          <w:rFonts w:asciiTheme="majorBidi" w:hAnsiTheme="majorBidi" w:cstheme="majorBidi"/>
        </w:rPr>
        <w:t>, respectively,</w:t>
      </w:r>
      <w:r w:rsidRPr="008F2447">
        <w:rPr>
          <w:rFonts w:asciiTheme="majorBidi" w:hAnsiTheme="majorBidi" w:cstheme="majorBidi"/>
        </w:rPr>
        <w:t xml:space="preserve"> at </w:t>
      </w:r>
      <w:r w:rsidR="00DE2E97">
        <w:rPr>
          <w:rFonts w:asciiTheme="majorBidi" w:hAnsiTheme="majorBidi" w:cstheme="majorBidi"/>
        </w:rPr>
        <w:t>total hip and spine</w:t>
      </w:r>
      <w:r w:rsidRPr="008F2447">
        <w:rPr>
          <w:rFonts w:asciiTheme="majorBidi" w:hAnsiTheme="majorBidi" w:cstheme="majorBidi"/>
        </w:rPr>
        <w:t xml:space="preserve">. The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group had significantly lower total body BMD compared with the obese alone group. Amongst females, obese alone had significantly higher BMD</w:t>
      </w:r>
      <w:r w:rsidR="00DE2E97">
        <w:rPr>
          <w:rFonts w:asciiTheme="majorBidi" w:hAnsiTheme="majorBidi" w:cstheme="majorBidi"/>
        </w:rPr>
        <w:t xml:space="preserve"> </w:t>
      </w:r>
      <w:r w:rsidRPr="008F2447">
        <w:rPr>
          <w:rFonts w:asciiTheme="majorBidi" w:hAnsiTheme="majorBidi" w:cstheme="majorBidi"/>
        </w:rPr>
        <w:t>at all sites compared with the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w:t>
      </w:r>
      <w:r w:rsidR="00DE2E97">
        <w:rPr>
          <w:rFonts w:asciiTheme="majorBidi" w:hAnsiTheme="majorBidi" w:cstheme="majorBidi"/>
        </w:rPr>
        <w:t xml:space="preserve"> group and </w:t>
      </w:r>
      <w:proofErr w:type="spellStart"/>
      <w:r w:rsidR="00DE2E97">
        <w:rPr>
          <w:rFonts w:asciiTheme="majorBidi" w:hAnsiTheme="majorBidi" w:cstheme="majorBidi"/>
        </w:rPr>
        <w:t>sarcopenic</w:t>
      </w:r>
      <w:proofErr w:type="spellEnd"/>
      <w:r w:rsidR="00DE2E97">
        <w:rPr>
          <w:rFonts w:asciiTheme="majorBidi" w:hAnsiTheme="majorBidi" w:cstheme="majorBidi"/>
        </w:rPr>
        <w:t xml:space="preserve"> alone group</w:t>
      </w:r>
      <w:r w:rsidRPr="008F2447">
        <w:rPr>
          <w:rFonts w:asciiTheme="majorBidi" w:hAnsiTheme="majorBidi" w:cstheme="majorBidi"/>
        </w:rPr>
        <w:t xml:space="preserve">. Total hip and spine BMD were significantly higher for the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group compared with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although total hip BMD </w:t>
      </w:r>
      <w:r w:rsidR="00DE2E97" w:rsidRPr="008F2447">
        <w:rPr>
          <w:rFonts w:asciiTheme="majorBidi" w:hAnsiTheme="majorBidi" w:cstheme="majorBidi"/>
        </w:rPr>
        <w:t>w</w:t>
      </w:r>
      <w:r w:rsidR="00DE2E97">
        <w:rPr>
          <w:rFonts w:asciiTheme="majorBidi" w:hAnsiTheme="majorBidi" w:cstheme="majorBidi"/>
        </w:rPr>
        <w:t xml:space="preserve">as </w:t>
      </w:r>
      <w:r w:rsidRPr="008F2447">
        <w:rPr>
          <w:rFonts w:asciiTheme="majorBidi" w:hAnsiTheme="majorBidi" w:cstheme="majorBidi"/>
        </w:rPr>
        <w:t xml:space="preserve">significantly lower for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compared with obese alone participants</w:t>
      </w:r>
      <w:r w:rsidR="00DE2E97">
        <w:rPr>
          <w:rFonts w:asciiTheme="majorBidi" w:hAnsiTheme="majorBidi" w:cstheme="majorBidi"/>
        </w:rPr>
        <w:t xml:space="preserve">, and the lower total body BMD of </w:t>
      </w:r>
      <w:proofErr w:type="spellStart"/>
      <w:r w:rsidR="00DE2E97">
        <w:rPr>
          <w:rFonts w:asciiTheme="majorBidi" w:hAnsiTheme="majorBidi" w:cstheme="majorBidi"/>
        </w:rPr>
        <w:t>sarcopenic</w:t>
      </w:r>
      <w:proofErr w:type="spellEnd"/>
      <w:r w:rsidR="00DE2E97">
        <w:rPr>
          <w:rFonts w:asciiTheme="majorBidi" w:hAnsiTheme="majorBidi" w:cstheme="majorBidi"/>
        </w:rPr>
        <w:t xml:space="preserve"> obese compared to obese alone also approached significance (P&lt;0.06)</w:t>
      </w:r>
      <w:r w:rsidRPr="008F2447">
        <w:rPr>
          <w:rFonts w:asciiTheme="majorBidi" w:hAnsiTheme="majorBidi" w:cstheme="majorBidi"/>
        </w:rPr>
        <w:t>. Compared with 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women, obese alone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women had significantly higher BMD at all sites. </w:t>
      </w:r>
      <w:r w:rsidR="00503852">
        <w:rPr>
          <w:rFonts w:asciiTheme="majorBidi" w:hAnsiTheme="majorBidi" w:cstheme="majorBidi"/>
        </w:rPr>
        <w:t xml:space="preserve">When </w:t>
      </w:r>
      <w:proofErr w:type="spellStart"/>
      <w:r w:rsidR="00503852">
        <w:rPr>
          <w:rFonts w:asciiTheme="majorBidi" w:hAnsiTheme="majorBidi" w:cstheme="majorBidi"/>
        </w:rPr>
        <w:t>sarcopenic</w:t>
      </w:r>
      <w:proofErr w:type="spellEnd"/>
      <w:r w:rsidR="00503852">
        <w:rPr>
          <w:rFonts w:asciiTheme="majorBidi" w:hAnsiTheme="majorBidi" w:cstheme="majorBidi"/>
        </w:rPr>
        <w:t xml:space="preserve"> and </w:t>
      </w:r>
      <w:proofErr w:type="spellStart"/>
      <w:r w:rsidR="00503852">
        <w:rPr>
          <w:rFonts w:asciiTheme="majorBidi" w:hAnsiTheme="majorBidi" w:cstheme="majorBidi"/>
        </w:rPr>
        <w:t>dynapenic</w:t>
      </w:r>
      <w:proofErr w:type="spellEnd"/>
      <w:r w:rsidR="00503852">
        <w:rPr>
          <w:rFonts w:asciiTheme="majorBidi" w:hAnsiTheme="majorBidi" w:cstheme="majorBidi"/>
        </w:rPr>
        <w:t xml:space="preserve"> obesity were combined (Table 3), similar associations were observed. In men</w:t>
      </w:r>
      <w:r w:rsidR="0072789D">
        <w:rPr>
          <w:rFonts w:asciiTheme="majorBidi" w:hAnsiTheme="majorBidi" w:cstheme="majorBidi"/>
        </w:rPr>
        <w:t>,</w:t>
      </w:r>
      <w:r w:rsidR="00503852">
        <w:rPr>
          <w:rFonts w:asciiTheme="majorBidi" w:hAnsiTheme="majorBidi" w:cstheme="majorBidi"/>
        </w:rPr>
        <w:t xml:space="preserve"> </w:t>
      </w:r>
      <w:proofErr w:type="spellStart"/>
      <w:r w:rsidR="00503852">
        <w:rPr>
          <w:rFonts w:asciiTheme="majorBidi" w:hAnsiTheme="majorBidi" w:cstheme="majorBidi"/>
        </w:rPr>
        <w:t>sarcopenic</w:t>
      </w:r>
      <w:proofErr w:type="spellEnd"/>
      <w:r w:rsidR="00503852">
        <w:rPr>
          <w:rFonts w:asciiTheme="majorBidi" w:hAnsiTheme="majorBidi" w:cstheme="majorBidi"/>
        </w:rPr>
        <w:t xml:space="preserve"> and </w:t>
      </w:r>
      <w:proofErr w:type="spellStart"/>
      <w:r w:rsidR="00503852">
        <w:rPr>
          <w:rFonts w:asciiTheme="majorBidi" w:hAnsiTheme="majorBidi" w:cstheme="majorBidi"/>
        </w:rPr>
        <w:t>dynapenic</w:t>
      </w:r>
      <w:proofErr w:type="spellEnd"/>
      <w:r w:rsidR="00503852">
        <w:rPr>
          <w:rFonts w:asciiTheme="majorBidi" w:hAnsiTheme="majorBidi" w:cstheme="majorBidi"/>
        </w:rPr>
        <w:t xml:space="preserve"> alone participants had significantly lower BMD at all sites </w:t>
      </w:r>
      <w:r w:rsidR="00503852">
        <w:rPr>
          <w:rFonts w:asciiTheme="majorBidi" w:hAnsiTheme="majorBidi" w:cstheme="majorBidi"/>
        </w:rPr>
        <w:lastRenderedPageBreak/>
        <w:t>compared to non-</w:t>
      </w:r>
      <w:proofErr w:type="spellStart"/>
      <w:r w:rsidR="00503852">
        <w:rPr>
          <w:rFonts w:asciiTheme="majorBidi" w:hAnsiTheme="majorBidi" w:cstheme="majorBidi"/>
        </w:rPr>
        <w:t>sarcopenic</w:t>
      </w:r>
      <w:proofErr w:type="spellEnd"/>
      <w:r w:rsidR="00503852">
        <w:rPr>
          <w:rFonts w:asciiTheme="majorBidi" w:hAnsiTheme="majorBidi" w:cstheme="majorBidi"/>
        </w:rPr>
        <w:t xml:space="preserve"> and non-</w:t>
      </w:r>
      <w:proofErr w:type="spellStart"/>
      <w:r w:rsidR="00503852">
        <w:rPr>
          <w:rFonts w:asciiTheme="majorBidi" w:hAnsiTheme="majorBidi" w:cstheme="majorBidi"/>
        </w:rPr>
        <w:t>dynapenic</w:t>
      </w:r>
      <w:proofErr w:type="spellEnd"/>
      <w:r w:rsidR="00503852">
        <w:rPr>
          <w:rFonts w:asciiTheme="majorBidi" w:hAnsiTheme="majorBidi" w:cstheme="majorBidi"/>
        </w:rPr>
        <w:t xml:space="preserve"> non-obese, and obese alone</w:t>
      </w:r>
      <w:r w:rsidR="00CA08A5">
        <w:rPr>
          <w:rFonts w:asciiTheme="majorBidi" w:hAnsiTheme="majorBidi" w:cstheme="majorBidi"/>
        </w:rPr>
        <w:t>.</w:t>
      </w:r>
      <w:r w:rsidR="00503852">
        <w:rPr>
          <w:rFonts w:asciiTheme="majorBidi" w:hAnsiTheme="majorBidi" w:cstheme="majorBidi"/>
        </w:rPr>
        <w:t xml:space="preserve"> </w:t>
      </w:r>
      <w:proofErr w:type="spellStart"/>
      <w:r w:rsidR="00503852">
        <w:rPr>
          <w:rFonts w:asciiTheme="majorBidi" w:hAnsiTheme="majorBidi" w:cstheme="majorBidi"/>
        </w:rPr>
        <w:t>Sarcopenic</w:t>
      </w:r>
      <w:proofErr w:type="spellEnd"/>
      <w:r w:rsidR="00503852">
        <w:rPr>
          <w:rFonts w:asciiTheme="majorBidi" w:hAnsiTheme="majorBidi" w:cstheme="majorBidi"/>
        </w:rPr>
        <w:t xml:space="preserve"> and </w:t>
      </w:r>
      <w:proofErr w:type="spellStart"/>
      <w:r w:rsidR="00503852">
        <w:rPr>
          <w:rFonts w:asciiTheme="majorBidi" w:hAnsiTheme="majorBidi" w:cstheme="majorBidi"/>
        </w:rPr>
        <w:t>dynapenic</w:t>
      </w:r>
      <w:proofErr w:type="spellEnd"/>
      <w:r w:rsidR="00503852">
        <w:rPr>
          <w:rFonts w:asciiTheme="majorBidi" w:hAnsiTheme="majorBidi" w:cstheme="majorBidi"/>
        </w:rPr>
        <w:t xml:space="preserve"> obese men had significantly lower spine and total body BMD compared to obese alone</w:t>
      </w:r>
      <w:r w:rsidR="0072789D">
        <w:rPr>
          <w:rFonts w:asciiTheme="majorBidi" w:hAnsiTheme="majorBidi" w:cstheme="majorBidi"/>
        </w:rPr>
        <w:t>, and the association for total hip BMD approached significance (P&lt;0.07)</w:t>
      </w:r>
      <w:r w:rsidR="00503852">
        <w:rPr>
          <w:rFonts w:asciiTheme="majorBidi" w:hAnsiTheme="majorBidi" w:cstheme="majorBidi"/>
        </w:rPr>
        <w:t>. For women, obesity alone was associated with significantly higher BMD at all sites</w:t>
      </w:r>
      <w:r w:rsidR="00920170">
        <w:rPr>
          <w:rFonts w:asciiTheme="majorBidi" w:hAnsiTheme="majorBidi" w:cstheme="majorBidi"/>
        </w:rPr>
        <w:t xml:space="preserve"> and </w:t>
      </w:r>
      <w:proofErr w:type="spellStart"/>
      <w:r w:rsidR="00503852">
        <w:rPr>
          <w:rFonts w:asciiTheme="majorBidi" w:hAnsiTheme="majorBidi" w:cstheme="majorBidi"/>
        </w:rPr>
        <w:t>sarcopenic</w:t>
      </w:r>
      <w:proofErr w:type="spellEnd"/>
      <w:r w:rsidR="00503852">
        <w:rPr>
          <w:rFonts w:asciiTheme="majorBidi" w:hAnsiTheme="majorBidi" w:cstheme="majorBidi"/>
        </w:rPr>
        <w:t xml:space="preserve"> and </w:t>
      </w:r>
      <w:proofErr w:type="spellStart"/>
      <w:r w:rsidR="00503852">
        <w:rPr>
          <w:rFonts w:asciiTheme="majorBidi" w:hAnsiTheme="majorBidi" w:cstheme="majorBidi"/>
        </w:rPr>
        <w:t>dynapenic</w:t>
      </w:r>
      <w:proofErr w:type="spellEnd"/>
      <w:r w:rsidR="00503852">
        <w:rPr>
          <w:rFonts w:asciiTheme="majorBidi" w:hAnsiTheme="majorBidi" w:cstheme="majorBidi"/>
        </w:rPr>
        <w:t xml:space="preserve"> alone participants had significantly lower BMD at all sites compared to obese alone</w:t>
      </w:r>
      <w:r w:rsidR="00920170">
        <w:rPr>
          <w:rFonts w:asciiTheme="majorBidi" w:hAnsiTheme="majorBidi" w:cstheme="majorBidi"/>
        </w:rPr>
        <w:t xml:space="preserve">. </w:t>
      </w:r>
      <w:proofErr w:type="spellStart"/>
      <w:r w:rsidR="00920170">
        <w:rPr>
          <w:rFonts w:asciiTheme="majorBidi" w:hAnsiTheme="majorBidi" w:cstheme="majorBidi"/>
        </w:rPr>
        <w:t>Sarcopenic</w:t>
      </w:r>
      <w:proofErr w:type="spellEnd"/>
      <w:r w:rsidR="00920170">
        <w:rPr>
          <w:rFonts w:asciiTheme="majorBidi" w:hAnsiTheme="majorBidi" w:cstheme="majorBidi"/>
        </w:rPr>
        <w:t xml:space="preserve"> and </w:t>
      </w:r>
      <w:proofErr w:type="spellStart"/>
      <w:r w:rsidR="00920170">
        <w:rPr>
          <w:rFonts w:asciiTheme="majorBidi" w:hAnsiTheme="majorBidi" w:cstheme="majorBidi"/>
        </w:rPr>
        <w:t>dynapenic</w:t>
      </w:r>
      <w:proofErr w:type="spellEnd"/>
      <w:r w:rsidR="00920170">
        <w:rPr>
          <w:rFonts w:asciiTheme="majorBidi" w:hAnsiTheme="majorBidi" w:cstheme="majorBidi"/>
        </w:rPr>
        <w:t xml:space="preserve"> obese women had significantly higher total hip BMD compared to non-</w:t>
      </w:r>
      <w:proofErr w:type="spellStart"/>
      <w:r w:rsidR="00920170">
        <w:rPr>
          <w:rFonts w:asciiTheme="majorBidi" w:hAnsiTheme="majorBidi" w:cstheme="majorBidi"/>
        </w:rPr>
        <w:t>sarcopenic</w:t>
      </w:r>
      <w:proofErr w:type="spellEnd"/>
      <w:r w:rsidR="00920170">
        <w:rPr>
          <w:rFonts w:asciiTheme="majorBidi" w:hAnsiTheme="majorBidi" w:cstheme="majorBidi"/>
        </w:rPr>
        <w:t xml:space="preserve"> and non-</w:t>
      </w:r>
      <w:proofErr w:type="spellStart"/>
      <w:r w:rsidR="00920170">
        <w:rPr>
          <w:rFonts w:asciiTheme="majorBidi" w:hAnsiTheme="majorBidi" w:cstheme="majorBidi"/>
        </w:rPr>
        <w:t>dynapenic</w:t>
      </w:r>
      <w:proofErr w:type="spellEnd"/>
      <w:r w:rsidR="00920170">
        <w:rPr>
          <w:rFonts w:asciiTheme="majorBidi" w:hAnsiTheme="majorBidi" w:cstheme="majorBidi"/>
        </w:rPr>
        <w:t xml:space="preserve"> non-obese, but this was significantly lower when compared to obese alone. </w:t>
      </w:r>
    </w:p>
    <w:p w14:paraId="7B58ABF4" w14:textId="00FC474B" w:rsidR="00575EFD" w:rsidRPr="008F2447" w:rsidRDefault="00944A64" w:rsidP="000D6E99">
      <w:pPr>
        <w:spacing w:line="480" w:lineRule="auto"/>
        <w:ind w:firstLine="720"/>
        <w:rPr>
          <w:rFonts w:asciiTheme="majorBidi" w:hAnsiTheme="majorBidi" w:cstheme="majorBidi"/>
          <w:lang w:val="en-AU"/>
        </w:rPr>
      </w:pPr>
      <w:r w:rsidRPr="008F2447">
        <w:rPr>
          <w:rFonts w:asciiTheme="majorBidi" w:hAnsiTheme="majorBidi" w:cstheme="majorBidi"/>
        </w:rPr>
        <w:t xml:space="preserve">A total of 761 participants provided complete BMD data at five-year follow-up (mean 5.1 ± 0.5 years </w:t>
      </w:r>
      <w:r w:rsidR="005B7B99" w:rsidRPr="008F2447">
        <w:rPr>
          <w:rFonts w:asciiTheme="majorBidi" w:hAnsiTheme="majorBidi" w:cstheme="majorBidi"/>
        </w:rPr>
        <w:t>after baseline</w:t>
      </w:r>
      <w:r w:rsidRPr="008F2447">
        <w:rPr>
          <w:rFonts w:asciiTheme="majorBidi" w:hAnsiTheme="majorBidi" w:cstheme="majorBidi"/>
        </w:rPr>
        <w:t>)</w:t>
      </w:r>
      <w:r w:rsidR="005B7B99" w:rsidRPr="008F2447">
        <w:rPr>
          <w:rFonts w:asciiTheme="majorBidi" w:hAnsiTheme="majorBidi" w:cstheme="majorBidi"/>
        </w:rPr>
        <w:t xml:space="preserve"> and</w:t>
      </w:r>
      <w:r w:rsidR="00E8032A">
        <w:rPr>
          <w:rFonts w:asciiTheme="majorBidi" w:hAnsiTheme="majorBidi" w:cstheme="majorBidi"/>
          <w:lang w:val="en-AU"/>
        </w:rPr>
        <w:t xml:space="preserve"> </w:t>
      </w:r>
      <w:r w:rsidR="005B7B99" w:rsidRPr="008F2447">
        <w:rPr>
          <w:rFonts w:asciiTheme="majorBidi" w:hAnsiTheme="majorBidi" w:cstheme="majorBidi"/>
        </w:rPr>
        <w:t>56</w:t>
      </w:r>
      <w:r w:rsidR="00E8032A">
        <w:rPr>
          <w:rFonts w:asciiTheme="majorBidi" w:hAnsiTheme="majorBidi" w:cstheme="majorBidi"/>
          <w:lang w:val="en-AU"/>
        </w:rPr>
        <w:t>3</w:t>
      </w:r>
      <w:r w:rsidR="005B7B99" w:rsidRPr="008F2447">
        <w:rPr>
          <w:rFonts w:asciiTheme="majorBidi" w:hAnsiTheme="majorBidi" w:cstheme="majorBidi"/>
        </w:rPr>
        <w:t xml:space="preserve"> participants completed fracture recall at the 10-year follow-up (mean 10.7±0.7 years after baseline)</w:t>
      </w:r>
      <w:r w:rsidRPr="008F2447">
        <w:rPr>
          <w:rFonts w:asciiTheme="majorBidi" w:hAnsiTheme="majorBidi" w:cstheme="majorBidi"/>
        </w:rPr>
        <w:t>. Participants lost to five-year follow-up were significantly older, and had greater total body fat, lower ALM, lower leg strength, and lower total hip BMD than included participants (all P&lt;0.05), but there were no differences in gender proportions</w:t>
      </w:r>
      <w:r w:rsidR="005B7B99" w:rsidRPr="008F2447">
        <w:rPr>
          <w:rFonts w:asciiTheme="majorBidi" w:hAnsiTheme="majorBidi" w:cstheme="majorBidi"/>
        </w:rPr>
        <w:t xml:space="preserve"> (50 vs 51% female; P=0.473)</w:t>
      </w:r>
      <w:r w:rsidRPr="008F2447">
        <w:rPr>
          <w:rFonts w:asciiTheme="majorBidi" w:hAnsiTheme="majorBidi" w:cstheme="majorBidi"/>
        </w:rPr>
        <w:t xml:space="preserve">. Table </w:t>
      </w:r>
      <w:r w:rsidR="00920170">
        <w:rPr>
          <w:rFonts w:asciiTheme="majorBidi" w:hAnsiTheme="majorBidi" w:cstheme="majorBidi"/>
        </w:rPr>
        <w:t>4</w:t>
      </w:r>
      <w:r w:rsidR="00920170" w:rsidRPr="008F2447">
        <w:rPr>
          <w:rFonts w:asciiTheme="majorBidi" w:hAnsiTheme="majorBidi" w:cstheme="majorBidi"/>
        </w:rPr>
        <w:t xml:space="preserve"> </w:t>
      </w:r>
      <w:r w:rsidRPr="008F2447">
        <w:rPr>
          <w:rFonts w:asciiTheme="majorBidi" w:hAnsiTheme="majorBidi" w:cstheme="majorBidi"/>
          <w:lang w:val="en-AU"/>
        </w:rPr>
        <w:t>presents</w:t>
      </w:r>
      <w:r w:rsidRPr="008F2447">
        <w:rPr>
          <w:rFonts w:asciiTheme="majorBidi" w:hAnsiTheme="majorBidi" w:cstheme="majorBidi"/>
        </w:rPr>
        <w:t xml:space="preserve"> regression </w:t>
      </w:r>
      <w:proofErr w:type="spellStart"/>
      <w:r w:rsidRPr="008F2447">
        <w:rPr>
          <w:rFonts w:asciiTheme="majorBidi" w:hAnsiTheme="majorBidi" w:cstheme="majorBidi"/>
        </w:rPr>
        <w:t>coefficents</w:t>
      </w:r>
      <w:proofErr w:type="spellEnd"/>
      <w:r w:rsidRPr="008F2447">
        <w:rPr>
          <w:rFonts w:asciiTheme="majorBidi" w:hAnsiTheme="majorBidi" w:cstheme="majorBidi"/>
        </w:rPr>
        <w:t xml:space="preserve"> expressing differences in BMD change</w:t>
      </w:r>
      <w:r w:rsidRPr="008F2447">
        <w:rPr>
          <w:rFonts w:asciiTheme="majorBidi" w:hAnsiTheme="majorBidi" w:cstheme="majorBidi"/>
          <w:lang w:val="en-AU"/>
        </w:rPr>
        <w:t xml:space="preserve">s (mg/cm2) </w:t>
      </w:r>
      <w:r w:rsidR="005B7B99" w:rsidRPr="008F2447">
        <w:rPr>
          <w:rFonts w:asciiTheme="majorBidi" w:hAnsiTheme="majorBidi" w:cstheme="majorBidi"/>
          <w:lang w:val="en-AU"/>
        </w:rPr>
        <w:t>to the five-year follow-up</w:t>
      </w:r>
      <w:r w:rsidRPr="008F2447">
        <w:rPr>
          <w:rFonts w:asciiTheme="majorBidi" w:hAnsiTheme="majorBidi" w:cstheme="majorBidi"/>
          <w:lang w:val="en-AU"/>
        </w:rPr>
        <w:t xml:space="preserve"> according to </w:t>
      </w:r>
      <w:proofErr w:type="spellStart"/>
      <w:r w:rsidRPr="008F2447">
        <w:rPr>
          <w:rFonts w:asciiTheme="majorBidi" w:hAnsiTheme="majorBidi" w:cstheme="majorBidi"/>
          <w:lang w:val="en-AU"/>
        </w:rPr>
        <w:t>sarcopenic</w:t>
      </w:r>
      <w:proofErr w:type="spellEnd"/>
      <w:r w:rsidRPr="008F2447">
        <w:rPr>
          <w:rFonts w:asciiTheme="majorBidi" w:hAnsiTheme="majorBidi" w:cstheme="majorBidi"/>
          <w:lang w:val="en-AU"/>
        </w:rPr>
        <w:t xml:space="preserve"> and </w:t>
      </w:r>
      <w:proofErr w:type="spellStart"/>
      <w:r w:rsidRPr="008F2447">
        <w:rPr>
          <w:rFonts w:asciiTheme="majorBidi" w:hAnsiTheme="majorBidi" w:cstheme="majorBidi"/>
          <w:lang w:val="en-AU"/>
        </w:rPr>
        <w:t>dynapenic</w:t>
      </w:r>
      <w:proofErr w:type="spellEnd"/>
      <w:r w:rsidRPr="008F2447">
        <w:rPr>
          <w:rFonts w:asciiTheme="majorBidi" w:hAnsiTheme="majorBidi" w:cstheme="majorBidi"/>
          <w:lang w:val="en-AU"/>
        </w:rPr>
        <w:t xml:space="preserve"> obesity categories. Amongst males, there were no differences in change in BMD according to </w:t>
      </w:r>
      <w:proofErr w:type="spellStart"/>
      <w:r w:rsidRPr="008F2447">
        <w:rPr>
          <w:rFonts w:asciiTheme="majorBidi" w:hAnsiTheme="majorBidi" w:cstheme="majorBidi"/>
          <w:lang w:val="en-AU"/>
        </w:rPr>
        <w:t>sarcopenic</w:t>
      </w:r>
      <w:proofErr w:type="spellEnd"/>
      <w:r w:rsidRPr="008F2447">
        <w:rPr>
          <w:rFonts w:asciiTheme="majorBidi" w:hAnsiTheme="majorBidi" w:cstheme="majorBidi"/>
          <w:lang w:val="en-AU"/>
        </w:rPr>
        <w:t xml:space="preserve"> obesity categories, although </w:t>
      </w:r>
      <w:r w:rsidRPr="008F2447">
        <w:rPr>
          <w:rFonts w:asciiTheme="majorBidi" w:hAnsiTheme="majorBidi" w:cstheme="majorBidi"/>
        </w:rPr>
        <w:t xml:space="preserve">the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alone (B-</w:t>
      </w:r>
      <w:proofErr w:type="spellStart"/>
      <w:r w:rsidRPr="008F2447">
        <w:rPr>
          <w:rFonts w:asciiTheme="majorBidi" w:hAnsiTheme="majorBidi" w:cstheme="majorBidi"/>
        </w:rPr>
        <w:t>coeffcient</w:t>
      </w:r>
      <w:proofErr w:type="spellEnd"/>
      <w:r w:rsidRPr="008F2447">
        <w:rPr>
          <w:rFonts w:asciiTheme="majorBidi" w:hAnsiTheme="majorBidi" w:cstheme="majorBidi"/>
        </w:rPr>
        <w:t xml:space="preserve"> = -13.</w:t>
      </w:r>
      <w:r w:rsidR="00C130CF">
        <w:rPr>
          <w:rFonts w:asciiTheme="majorBidi" w:hAnsiTheme="majorBidi" w:cstheme="majorBidi"/>
        </w:rPr>
        <w:t>9</w:t>
      </w:r>
      <w:r w:rsidRPr="008F2447">
        <w:rPr>
          <w:rFonts w:asciiTheme="majorBidi" w:hAnsiTheme="majorBidi" w:cstheme="majorBidi"/>
        </w:rPr>
        <w:t>; 95% CI -27.</w:t>
      </w:r>
      <w:r w:rsidR="00C130CF">
        <w:rPr>
          <w:rFonts w:asciiTheme="majorBidi" w:hAnsiTheme="majorBidi" w:cstheme="majorBidi"/>
        </w:rPr>
        <w:t>6</w:t>
      </w:r>
      <w:r w:rsidRPr="008F2447">
        <w:rPr>
          <w:rFonts w:asciiTheme="majorBidi" w:hAnsiTheme="majorBidi" w:cstheme="majorBidi"/>
        </w:rPr>
        <w:t>, -0.1 mg/cm</w:t>
      </w:r>
      <w:r w:rsidRPr="008F2447">
        <w:rPr>
          <w:rFonts w:asciiTheme="majorBidi" w:hAnsiTheme="majorBidi" w:cstheme="majorBidi"/>
          <w:vertAlign w:val="superscript"/>
        </w:rPr>
        <w:t>2</w:t>
      </w:r>
      <w:proofErr w:type="gramStart"/>
      <w:r w:rsidRPr="008F2447">
        <w:rPr>
          <w:rFonts w:asciiTheme="majorBidi" w:hAnsiTheme="majorBidi" w:cstheme="majorBidi"/>
        </w:rPr>
        <w:t>)</w:t>
      </w:r>
      <w:r w:rsidRPr="008F2447">
        <w:rPr>
          <w:rFonts w:asciiTheme="majorBidi" w:hAnsiTheme="majorBidi" w:cstheme="majorBidi"/>
          <w:vertAlign w:val="superscript"/>
        </w:rPr>
        <w:t xml:space="preserve"> </w:t>
      </w:r>
      <w:r w:rsidRPr="008F2447">
        <w:rPr>
          <w:rFonts w:asciiTheme="majorBidi" w:hAnsiTheme="majorBidi" w:cstheme="majorBidi"/>
        </w:rPr>
        <w:t xml:space="preserve"> and</w:t>
      </w:r>
      <w:proofErr w:type="gramEnd"/>
      <w:r w:rsidRPr="008F2447">
        <w:rPr>
          <w:rFonts w:asciiTheme="majorBidi" w:hAnsiTheme="majorBidi" w:cstheme="majorBidi"/>
        </w:rPr>
        <w:t xml:space="preserve">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r w:rsidR="00C130CF">
        <w:rPr>
          <w:rFonts w:asciiTheme="majorBidi" w:hAnsiTheme="majorBidi" w:cstheme="majorBidi"/>
        </w:rPr>
        <w:t>18</w:t>
      </w:r>
      <w:r w:rsidRPr="008F2447">
        <w:rPr>
          <w:rFonts w:asciiTheme="majorBidi" w:hAnsiTheme="majorBidi" w:cstheme="majorBidi"/>
        </w:rPr>
        <w:t>.</w:t>
      </w:r>
      <w:r w:rsidR="00C130CF">
        <w:rPr>
          <w:rFonts w:asciiTheme="majorBidi" w:hAnsiTheme="majorBidi" w:cstheme="majorBidi"/>
        </w:rPr>
        <w:t>9</w:t>
      </w:r>
      <w:r w:rsidRPr="008F2447">
        <w:rPr>
          <w:rFonts w:asciiTheme="majorBidi" w:hAnsiTheme="majorBidi" w:cstheme="majorBidi"/>
        </w:rPr>
        <w:t>; -3</w:t>
      </w:r>
      <w:r w:rsidR="00C130CF">
        <w:rPr>
          <w:rFonts w:asciiTheme="majorBidi" w:hAnsiTheme="majorBidi" w:cstheme="majorBidi"/>
        </w:rPr>
        <w:t>7</w:t>
      </w:r>
      <w:r w:rsidRPr="008F2447">
        <w:rPr>
          <w:rFonts w:asciiTheme="majorBidi" w:hAnsiTheme="majorBidi" w:cstheme="majorBidi"/>
        </w:rPr>
        <w:t>.0, -</w:t>
      </w:r>
      <w:r w:rsidR="00C130CF">
        <w:rPr>
          <w:rFonts w:asciiTheme="majorBidi" w:hAnsiTheme="majorBidi" w:cstheme="majorBidi"/>
        </w:rPr>
        <w:t>0</w:t>
      </w:r>
      <w:r w:rsidRPr="008F2447">
        <w:rPr>
          <w:rFonts w:asciiTheme="majorBidi" w:hAnsiTheme="majorBidi" w:cstheme="majorBidi"/>
        </w:rPr>
        <w:t>.</w:t>
      </w:r>
      <w:r w:rsidR="00C130CF">
        <w:rPr>
          <w:rFonts w:asciiTheme="majorBidi" w:hAnsiTheme="majorBidi" w:cstheme="majorBidi"/>
        </w:rPr>
        <w:t>7</w:t>
      </w:r>
      <w:r w:rsidRPr="008F2447">
        <w:rPr>
          <w:rFonts w:asciiTheme="majorBidi" w:hAnsiTheme="majorBidi" w:cstheme="majorBidi"/>
        </w:rPr>
        <w:t xml:space="preserve"> mg/cm</w:t>
      </w:r>
      <w:r w:rsidRPr="008F2447">
        <w:rPr>
          <w:rFonts w:asciiTheme="majorBidi" w:hAnsiTheme="majorBidi" w:cstheme="majorBidi"/>
          <w:vertAlign w:val="superscript"/>
        </w:rPr>
        <w:t>2</w:t>
      </w:r>
      <w:r w:rsidRPr="008F2447">
        <w:rPr>
          <w:rFonts w:asciiTheme="majorBidi" w:hAnsiTheme="majorBidi" w:cstheme="majorBidi"/>
        </w:rPr>
        <w:t>) groups</w:t>
      </w:r>
      <w:r w:rsidRPr="008F2447">
        <w:rPr>
          <w:rFonts w:asciiTheme="majorBidi" w:hAnsiTheme="majorBidi" w:cstheme="majorBidi"/>
          <w:lang w:val="en-AU"/>
        </w:rPr>
        <w:t xml:space="preserve"> had </w:t>
      </w:r>
      <w:r w:rsidRPr="008F2447">
        <w:rPr>
          <w:rFonts w:asciiTheme="majorBidi" w:hAnsiTheme="majorBidi" w:cstheme="majorBidi"/>
        </w:rPr>
        <w:t xml:space="preserve">significantly greater </w:t>
      </w:r>
      <w:r w:rsidRPr="008F2447">
        <w:rPr>
          <w:rFonts w:asciiTheme="majorBidi" w:hAnsiTheme="majorBidi" w:cstheme="majorBidi"/>
          <w:lang w:val="en-AU"/>
        </w:rPr>
        <w:t xml:space="preserve">declines in </w:t>
      </w:r>
      <w:r w:rsidRPr="008F2447">
        <w:rPr>
          <w:rFonts w:asciiTheme="majorBidi" w:hAnsiTheme="majorBidi" w:cstheme="majorBidi"/>
        </w:rPr>
        <w:t xml:space="preserve">total hip BMD compared with obese alone. </w:t>
      </w:r>
      <w:proofErr w:type="spellStart"/>
      <w:r w:rsidR="000D6E99">
        <w:rPr>
          <w:rFonts w:asciiTheme="majorBidi" w:hAnsiTheme="majorBidi" w:cstheme="majorBidi"/>
        </w:rPr>
        <w:t>Dynapenic</w:t>
      </w:r>
      <w:proofErr w:type="spellEnd"/>
      <w:r w:rsidR="000D6E99">
        <w:rPr>
          <w:rFonts w:asciiTheme="majorBidi" w:hAnsiTheme="majorBidi" w:cstheme="majorBidi"/>
        </w:rPr>
        <w:t xml:space="preserve"> alone men also had significantly greater declines in total body BMD compared to non-</w:t>
      </w:r>
      <w:proofErr w:type="spellStart"/>
      <w:r w:rsidR="000D6E99">
        <w:rPr>
          <w:rFonts w:asciiTheme="majorBidi" w:hAnsiTheme="majorBidi" w:cstheme="majorBidi"/>
        </w:rPr>
        <w:t>dynapenic</w:t>
      </w:r>
      <w:proofErr w:type="spellEnd"/>
      <w:r w:rsidR="000D6E99">
        <w:rPr>
          <w:rFonts w:asciiTheme="majorBidi" w:hAnsiTheme="majorBidi" w:cstheme="majorBidi"/>
        </w:rPr>
        <w:t xml:space="preserve"> non-obese. </w:t>
      </w:r>
      <w:r w:rsidRPr="008F2447">
        <w:rPr>
          <w:rFonts w:asciiTheme="majorBidi" w:hAnsiTheme="majorBidi" w:cstheme="majorBidi"/>
          <w:lang w:val="en-AU"/>
        </w:rPr>
        <w:t xml:space="preserve">Amongst </w:t>
      </w:r>
      <w:r w:rsidRPr="008F2447">
        <w:rPr>
          <w:rFonts w:asciiTheme="majorBidi" w:hAnsiTheme="majorBidi" w:cstheme="majorBidi"/>
        </w:rPr>
        <w:t xml:space="preserve"> females, </w:t>
      </w:r>
      <w:r w:rsidRPr="008F2447">
        <w:rPr>
          <w:rFonts w:asciiTheme="majorBidi" w:hAnsiTheme="majorBidi" w:cstheme="majorBidi"/>
          <w:lang w:val="en-AU"/>
        </w:rPr>
        <w:t>all</w:t>
      </w:r>
      <w:r w:rsidRPr="008F2447">
        <w:rPr>
          <w:rFonts w:asciiTheme="majorBidi" w:hAnsiTheme="majorBidi" w:cstheme="majorBidi"/>
        </w:rPr>
        <w:t xml:space="preserve"> groups </w:t>
      </w:r>
      <w:r w:rsidRPr="008F2447">
        <w:rPr>
          <w:rFonts w:asciiTheme="majorBidi" w:hAnsiTheme="majorBidi" w:cstheme="majorBidi"/>
          <w:lang w:val="en-AU"/>
        </w:rPr>
        <w:t>had</w:t>
      </w:r>
      <w:r w:rsidRPr="008F2447">
        <w:rPr>
          <w:rFonts w:asciiTheme="majorBidi" w:hAnsiTheme="majorBidi" w:cstheme="majorBidi"/>
        </w:rPr>
        <w:t xml:space="preserve"> significantly </w:t>
      </w:r>
      <w:r w:rsidRPr="008F2447">
        <w:rPr>
          <w:rFonts w:asciiTheme="majorBidi" w:hAnsiTheme="majorBidi" w:cstheme="majorBidi"/>
          <w:lang w:val="en-AU"/>
        </w:rPr>
        <w:t>smaller declines in</w:t>
      </w:r>
      <w:r w:rsidRPr="008F2447">
        <w:rPr>
          <w:rFonts w:asciiTheme="majorBidi" w:hAnsiTheme="majorBidi" w:cstheme="majorBidi"/>
        </w:rPr>
        <w:t xml:space="preserve"> total hip BMD compared with the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w:t>
      </w:r>
      <w:r w:rsidRPr="008F2447">
        <w:rPr>
          <w:rFonts w:asciiTheme="majorBidi" w:hAnsiTheme="majorBidi" w:cstheme="majorBidi"/>
          <w:lang w:val="en-AU"/>
        </w:rPr>
        <w:t xml:space="preserve"> group, but only the o</w:t>
      </w:r>
      <w:proofErr w:type="spellStart"/>
      <w:r w:rsidRPr="008F2447">
        <w:rPr>
          <w:rFonts w:asciiTheme="majorBidi" w:hAnsiTheme="majorBidi" w:cstheme="majorBidi"/>
        </w:rPr>
        <w:t>bese</w:t>
      </w:r>
      <w:proofErr w:type="spellEnd"/>
      <w:r w:rsidRPr="008F2447">
        <w:rPr>
          <w:rFonts w:asciiTheme="majorBidi" w:hAnsiTheme="majorBidi" w:cstheme="majorBidi"/>
        </w:rPr>
        <w:t xml:space="preserve"> alone </w:t>
      </w:r>
      <w:r w:rsidRPr="008F2447">
        <w:rPr>
          <w:rFonts w:asciiTheme="majorBidi" w:hAnsiTheme="majorBidi" w:cstheme="majorBidi"/>
          <w:lang w:val="en-AU"/>
        </w:rPr>
        <w:t>group had</w:t>
      </w:r>
      <w:r w:rsidRPr="008F2447">
        <w:rPr>
          <w:rFonts w:asciiTheme="majorBidi" w:hAnsiTheme="majorBidi" w:cstheme="majorBidi"/>
        </w:rPr>
        <w:t xml:space="preserve"> significantly </w:t>
      </w:r>
      <w:r w:rsidRPr="008F2447">
        <w:rPr>
          <w:rFonts w:asciiTheme="majorBidi" w:hAnsiTheme="majorBidi" w:cstheme="majorBidi"/>
          <w:lang w:val="en-AU"/>
        </w:rPr>
        <w:t xml:space="preserve">smaller declines in </w:t>
      </w:r>
      <w:r w:rsidRPr="008F2447">
        <w:rPr>
          <w:rFonts w:asciiTheme="majorBidi" w:hAnsiTheme="majorBidi" w:cstheme="majorBidi"/>
        </w:rPr>
        <w:t xml:space="preserve">total body BMD. </w:t>
      </w:r>
      <w:proofErr w:type="spellStart"/>
      <w:r w:rsidR="000D6E99">
        <w:rPr>
          <w:rFonts w:asciiTheme="majorBidi" w:hAnsiTheme="majorBidi" w:cstheme="majorBidi"/>
        </w:rPr>
        <w:t>Dynapenic</w:t>
      </w:r>
      <w:proofErr w:type="spellEnd"/>
      <w:r w:rsidR="000D6E99">
        <w:rPr>
          <w:rFonts w:asciiTheme="majorBidi" w:hAnsiTheme="majorBidi" w:cstheme="majorBidi"/>
        </w:rPr>
        <w:t xml:space="preserve"> obese females had significantly smaller declines in spine BMD compared to obese alone </w:t>
      </w:r>
      <w:r w:rsidR="000D6E99" w:rsidRPr="008F2447">
        <w:rPr>
          <w:rFonts w:asciiTheme="majorBidi" w:hAnsiTheme="majorBidi" w:cstheme="majorBidi"/>
        </w:rPr>
        <w:t>(-</w:t>
      </w:r>
      <w:r w:rsidR="000D6E99">
        <w:rPr>
          <w:rFonts w:asciiTheme="majorBidi" w:hAnsiTheme="majorBidi" w:cstheme="majorBidi"/>
        </w:rPr>
        <w:lastRenderedPageBreak/>
        <w:t>21</w:t>
      </w:r>
      <w:r w:rsidR="000D6E99" w:rsidRPr="008F2447">
        <w:rPr>
          <w:rFonts w:asciiTheme="majorBidi" w:hAnsiTheme="majorBidi" w:cstheme="majorBidi"/>
        </w:rPr>
        <w:t>.</w:t>
      </w:r>
      <w:r w:rsidR="000D6E99">
        <w:rPr>
          <w:rFonts w:asciiTheme="majorBidi" w:hAnsiTheme="majorBidi" w:cstheme="majorBidi"/>
        </w:rPr>
        <w:t>2; 1.4, 41</w:t>
      </w:r>
      <w:r w:rsidR="000D6E99" w:rsidRPr="008F2447">
        <w:rPr>
          <w:rFonts w:asciiTheme="majorBidi" w:hAnsiTheme="majorBidi" w:cstheme="majorBidi"/>
        </w:rPr>
        <w:t>.</w:t>
      </w:r>
      <w:r w:rsidR="000D6E99">
        <w:rPr>
          <w:rFonts w:asciiTheme="majorBidi" w:hAnsiTheme="majorBidi" w:cstheme="majorBidi"/>
        </w:rPr>
        <w:t>0</w:t>
      </w:r>
      <w:r w:rsidR="000D6E99" w:rsidRPr="008F2447">
        <w:rPr>
          <w:rFonts w:asciiTheme="majorBidi" w:hAnsiTheme="majorBidi" w:cstheme="majorBidi"/>
        </w:rPr>
        <w:t xml:space="preserve"> mg/cm</w:t>
      </w:r>
      <w:r w:rsidR="000D6E99" w:rsidRPr="008F2447">
        <w:rPr>
          <w:rFonts w:asciiTheme="majorBidi" w:hAnsiTheme="majorBidi" w:cstheme="majorBidi"/>
          <w:vertAlign w:val="superscript"/>
        </w:rPr>
        <w:t>2</w:t>
      </w:r>
      <w:proofErr w:type="gramStart"/>
      <w:r w:rsidR="000D6E99" w:rsidRPr="008F2447">
        <w:rPr>
          <w:rFonts w:asciiTheme="majorBidi" w:hAnsiTheme="majorBidi" w:cstheme="majorBidi"/>
        </w:rPr>
        <w:t xml:space="preserve">) </w:t>
      </w:r>
      <w:r w:rsidR="000D6E99">
        <w:rPr>
          <w:rFonts w:asciiTheme="majorBidi" w:hAnsiTheme="majorBidi" w:cstheme="majorBidi"/>
        </w:rPr>
        <w:t xml:space="preserve"> and</w:t>
      </w:r>
      <w:proofErr w:type="gramEnd"/>
      <w:r w:rsidR="000D6E99">
        <w:rPr>
          <w:rFonts w:asciiTheme="majorBidi" w:hAnsiTheme="majorBidi" w:cstheme="majorBidi"/>
        </w:rPr>
        <w:t xml:space="preserve"> </w:t>
      </w:r>
      <w:proofErr w:type="spellStart"/>
      <w:r w:rsidR="000D6E99">
        <w:rPr>
          <w:rFonts w:asciiTheme="majorBidi" w:hAnsiTheme="majorBidi" w:cstheme="majorBidi"/>
        </w:rPr>
        <w:t>d</w:t>
      </w:r>
      <w:r w:rsidRPr="008F2447">
        <w:rPr>
          <w:rFonts w:asciiTheme="majorBidi" w:hAnsiTheme="majorBidi" w:cstheme="majorBidi"/>
        </w:rPr>
        <w:t>ynapenic</w:t>
      </w:r>
      <w:proofErr w:type="spellEnd"/>
      <w:r w:rsidRPr="008F2447">
        <w:rPr>
          <w:rFonts w:asciiTheme="majorBidi" w:hAnsiTheme="majorBidi" w:cstheme="majorBidi"/>
        </w:rPr>
        <w:t xml:space="preserve"> alone lost significantly less total body BMD compared with non-</w:t>
      </w:r>
      <w:proofErr w:type="spellStart"/>
      <w:r w:rsidRPr="008F2447">
        <w:rPr>
          <w:rFonts w:asciiTheme="majorBidi" w:hAnsiTheme="majorBidi" w:cstheme="majorBidi"/>
        </w:rPr>
        <w:t>dynapenic</w:t>
      </w:r>
      <w:proofErr w:type="spellEnd"/>
      <w:r w:rsidRPr="008F2447">
        <w:rPr>
          <w:rFonts w:asciiTheme="majorBidi" w:hAnsiTheme="majorBidi" w:cstheme="majorBidi"/>
        </w:rPr>
        <w:t>, non-obese</w:t>
      </w:r>
      <w:r w:rsidRPr="008F2447">
        <w:rPr>
          <w:rFonts w:asciiTheme="majorBidi" w:hAnsiTheme="majorBidi" w:cstheme="majorBidi"/>
          <w:lang w:val="en-AU"/>
        </w:rPr>
        <w:t>.</w:t>
      </w:r>
    </w:p>
    <w:p w14:paraId="13C999AB" w14:textId="4F56779D" w:rsidR="00575EFD" w:rsidRPr="00AA3845" w:rsidRDefault="00944A64" w:rsidP="00B314E0">
      <w:pPr>
        <w:spacing w:line="480" w:lineRule="auto"/>
        <w:rPr>
          <w:rFonts w:asciiTheme="majorBidi" w:hAnsiTheme="majorBidi" w:cstheme="majorBidi"/>
          <w:lang w:val="en-AU"/>
        </w:rPr>
      </w:pPr>
      <w:r w:rsidRPr="008F2447">
        <w:rPr>
          <w:rFonts w:asciiTheme="majorBidi" w:hAnsiTheme="majorBidi" w:cstheme="majorBidi"/>
        </w:rPr>
        <w:tab/>
        <w:t xml:space="preserve">Incidence of hip osteoporosis/osteopenia at follow-up according to baseline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categories is reported in Figures 1A and 1B, respectively. Only participants without prevalent hip osteoporosis/osteopenia at baseline were included in this analysis and a total of 9.8% developed osteoporosis/osteopenia after 5 years of follow-up. 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and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alone participants had significantly higher incidence of hip osteoporosis/osteopenia compared with obese alone, but not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participants, whereas according to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categories, 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alone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had significantly higher incidence of hip osteoporosis/osteopenia compared with obese alone. </w:t>
      </w:r>
      <w:r w:rsidR="0038265A">
        <w:rPr>
          <w:rFonts w:asciiTheme="majorBidi" w:hAnsiTheme="majorBidi" w:cstheme="majorBidi"/>
          <w:lang w:val="en-AU"/>
        </w:rPr>
        <w:t>Figure 1C</w:t>
      </w:r>
      <w:r w:rsidR="00414E8C">
        <w:rPr>
          <w:rFonts w:asciiTheme="majorBidi" w:hAnsiTheme="majorBidi" w:cstheme="majorBidi"/>
          <w:lang w:val="en-AU"/>
        </w:rPr>
        <w:t xml:space="preserve"> presents incidence of hip osteoporosis/osteopenia for combined </w:t>
      </w:r>
      <w:proofErr w:type="spellStart"/>
      <w:r w:rsidR="00414E8C">
        <w:rPr>
          <w:rFonts w:asciiTheme="majorBidi" w:hAnsiTheme="majorBidi" w:cstheme="majorBidi"/>
          <w:lang w:val="en-AU"/>
        </w:rPr>
        <w:t>sarcopenic</w:t>
      </w:r>
      <w:proofErr w:type="spellEnd"/>
      <w:r w:rsidR="00414E8C">
        <w:rPr>
          <w:rFonts w:asciiTheme="majorBidi" w:hAnsiTheme="majorBidi" w:cstheme="majorBidi"/>
          <w:lang w:val="en-AU"/>
        </w:rPr>
        <w:t xml:space="preserve"> and </w:t>
      </w:r>
      <w:proofErr w:type="spellStart"/>
      <w:r w:rsidR="00414E8C">
        <w:rPr>
          <w:rFonts w:asciiTheme="majorBidi" w:hAnsiTheme="majorBidi" w:cstheme="majorBidi"/>
          <w:lang w:val="en-AU"/>
        </w:rPr>
        <w:t>dynapenic</w:t>
      </w:r>
      <w:proofErr w:type="spellEnd"/>
      <w:r w:rsidR="00414E8C">
        <w:rPr>
          <w:rFonts w:asciiTheme="majorBidi" w:hAnsiTheme="majorBidi" w:cstheme="majorBidi"/>
          <w:lang w:val="en-AU"/>
        </w:rPr>
        <w:t xml:space="preserve"> obesity categories. Those with both </w:t>
      </w:r>
      <w:proofErr w:type="spellStart"/>
      <w:r w:rsidR="00414E8C">
        <w:rPr>
          <w:rFonts w:asciiTheme="majorBidi" w:hAnsiTheme="majorBidi" w:cstheme="majorBidi"/>
          <w:lang w:val="en-AU"/>
        </w:rPr>
        <w:t>sarcopenic</w:t>
      </w:r>
      <w:proofErr w:type="spellEnd"/>
      <w:r w:rsidR="00414E8C">
        <w:rPr>
          <w:rFonts w:asciiTheme="majorBidi" w:hAnsiTheme="majorBidi" w:cstheme="majorBidi"/>
          <w:lang w:val="en-AU"/>
        </w:rPr>
        <w:t xml:space="preserve"> and </w:t>
      </w:r>
      <w:proofErr w:type="spellStart"/>
      <w:r w:rsidR="00414E8C">
        <w:rPr>
          <w:rFonts w:asciiTheme="majorBidi" w:hAnsiTheme="majorBidi" w:cstheme="majorBidi"/>
          <w:lang w:val="en-AU"/>
        </w:rPr>
        <w:t>dynapenic</w:t>
      </w:r>
      <w:proofErr w:type="spellEnd"/>
      <w:r w:rsidR="00414E8C">
        <w:rPr>
          <w:rFonts w:asciiTheme="majorBidi" w:hAnsiTheme="majorBidi" w:cstheme="majorBidi"/>
          <w:lang w:val="en-AU"/>
        </w:rPr>
        <w:t xml:space="preserve"> obesity did not have increased incidence of hip osteoporosis</w:t>
      </w:r>
      <w:r w:rsidR="00927DF2">
        <w:rPr>
          <w:rFonts w:asciiTheme="majorBidi" w:hAnsiTheme="majorBidi" w:cstheme="majorBidi"/>
          <w:lang w:val="en-AU"/>
        </w:rPr>
        <w:t xml:space="preserve">/osteopenia, although those with </w:t>
      </w:r>
      <w:proofErr w:type="spellStart"/>
      <w:r w:rsidR="00927DF2">
        <w:rPr>
          <w:rFonts w:asciiTheme="majorBidi" w:hAnsiTheme="majorBidi" w:cstheme="majorBidi"/>
          <w:lang w:val="en-AU"/>
        </w:rPr>
        <w:t>sarcopenia</w:t>
      </w:r>
      <w:proofErr w:type="spellEnd"/>
      <w:r w:rsidR="00927DF2">
        <w:rPr>
          <w:rFonts w:asciiTheme="majorBidi" w:hAnsiTheme="majorBidi" w:cstheme="majorBidi"/>
          <w:lang w:val="en-AU"/>
        </w:rPr>
        <w:t xml:space="preserve"> and </w:t>
      </w:r>
      <w:proofErr w:type="spellStart"/>
      <w:r w:rsidR="00927DF2">
        <w:rPr>
          <w:rFonts w:asciiTheme="majorBidi" w:hAnsiTheme="majorBidi" w:cstheme="majorBidi"/>
          <w:lang w:val="en-AU"/>
        </w:rPr>
        <w:t>dynapenia</w:t>
      </w:r>
      <w:proofErr w:type="spellEnd"/>
      <w:r w:rsidR="00927DF2">
        <w:rPr>
          <w:rFonts w:asciiTheme="majorBidi" w:hAnsiTheme="majorBidi" w:cstheme="majorBidi"/>
          <w:lang w:val="en-AU"/>
        </w:rPr>
        <w:t xml:space="preserve"> </w:t>
      </w:r>
      <w:r w:rsidR="00AA3845">
        <w:rPr>
          <w:rFonts w:asciiTheme="majorBidi" w:hAnsiTheme="majorBidi" w:cstheme="majorBidi"/>
          <w:lang w:val="en-AU"/>
        </w:rPr>
        <w:t xml:space="preserve">alone </w:t>
      </w:r>
      <w:r w:rsidR="00927DF2">
        <w:rPr>
          <w:rFonts w:asciiTheme="majorBidi" w:hAnsiTheme="majorBidi" w:cstheme="majorBidi"/>
          <w:lang w:val="en-AU"/>
        </w:rPr>
        <w:t xml:space="preserve">had significantly higher incidence compared to those with obesity alone. </w:t>
      </w:r>
    </w:p>
    <w:p w14:paraId="3818E97F" w14:textId="04CC79A7" w:rsidR="00575EFD" w:rsidRDefault="00944A64" w:rsidP="00561060">
      <w:pPr>
        <w:spacing w:line="480" w:lineRule="auto"/>
        <w:ind w:firstLine="720"/>
        <w:rPr>
          <w:rFonts w:asciiTheme="majorBidi" w:hAnsiTheme="majorBidi" w:cstheme="majorBidi"/>
          <w:lang w:val="en-AU"/>
        </w:rPr>
      </w:pPr>
      <w:r w:rsidRPr="008F2447">
        <w:rPr>
          <w:rFonts w:asciiTheme="majorBidi" w:hAnsiTheme="majorBidi" w:cstheme="majorBidi"/>
        </w:rPr>
        <w:t xml:space="preserve">Amongst </w:t>
      </w:r>
      <w:r w:rsidR="00CC3B27" w:rsidRPr="008F2447">
        <w:rPr>
          <w:rFonts w:asciiTheme="majorBidi" w:hAnsiTheme="majorBidi" w:cstheme="majorBidi"/>
        </w:rPr>
        <w:t>56</w:t>
      </w:r>
      <w:r w:rsidR="00CC3B27">
        <w:rPr>
          <w:rFonts w:asciiTheme="majorBidi" w:hAnsiTheme="majorBidi" w:cstheme="majorBidi"/>
        </w:rPr>
        <w:t>3</w:t>
      </w:r>
      <w:r w:rsidR="00CC3B27" w:rsidRPr="008F2447">
        <w:rPr>
          <w:rFonts w:asciiTheme="majorBidi" w:hAnsiTheme="majorBidi" w:cstheme="majorBidi"/>
        </w:rPr>
        <w:t xml:space="preserve"> </w:t>
      </w:r>
      <w:r w:rsidRPr="008F2447">
        <w:rPr>
          <w:rFonts w:asciiTheme="majorBidi" w:hAnsiTheme="majorBidi" w:cstheme="majorBidi"/>
        </w:rPr>
        <w:t xml:space="preserve">participants who completed the 10-year follow-up (mean 10.7±0.7 years), </w:t>
      </w:r>
      <w:r w:rsidR="00AA3845">
        <w:rPr>
          <w:rFonts w:asciiTheme="majorBidi" w:hAnsiTheme="majorBidi" w:cstheme="majorBidi"/>
        </w:rPr>
        <w:t>2</w:t>
      </w:r>
      <w:r w:rsidR="00AA3845" w:rsidRPr="008F2447">
        <w:rPr>
          <w:rFonts w:asciiTheme="majorBidi" w:hAnsiTheme="majorBidi" w:cstheme="majorBidi"/>
        </w:rPr>
        <w:t>1</w:t>
      </w:r>
      <w:r w:rsidRPr="008F2447">
        <w:rPr>
          <w:rFonts w:asciiTheme="majorBidi" w:hAnsiTheme="majorBidi" w:cstheme="majorBidi"/>
        </w:rPr>
        <w:t>% reported a total of 210 incident fractures</w:t>
      </w:r>
      <w:r w:rsidRPr="008F2447">
        <w:rPr>
          <w:rFonts w:asciiTheme="majorBidi" w:hAnsiTheme="majorBidi" w:cstheme="majorBidi"/>
          <w:lang w:val="en-AU"/>
        </w:rPr>
        <w:t xml:space="preserve"> and the majority of these (88%) were non-vertebral fractures. Incident non-vertebral </w:t>
      </w:r>
      <w:r w:rsidRPr="008F2447">
        <w:rPr>
          <w:rFonts w:asciiTheme="majorBidi" w:hAnsiTheme="majorBidi" w:cstheme="majorBidi"/>
        </w:rPr>
        <w:t xml:space="preserve">fractures were significantly more common in females than males (24 vs 14%, respectively, P = 0.003). Table </w:t>
      </w:r>
      <w:r w:rsidR="00561060">
        <w:rPr>
          <w:rFonts w:asciiTheme="majorBidi" w:hAnsiTheme="majorBidi" w:cstheme="majorBidi"/>
        </w:rPr>
        <w:t>5</w:t>
      </w:r>
      <w:r w:rsidR="00561060" w:rsidRPr="008F2447">
        <w:rPr>
          <w:rFonts w:asciiTheme="majorBidi" w:hAnsiTheme="majorBidi" w:cstheme="majorBidi"/>
        </w:rPr>
        <w:t xml:space="preserve"> </w:t>
      </w:r>
      <w:r w:rsidRPr="008F2447">
        <w:rPr>
          <w:rFonts w:asciiTheme="majorBidi" w:hAnsiTheme="majorBidi" w:cstheme="majorBidi"/>
        </w:rPr>
        <w:t xml:space="preserve">reports incidence rate ratios for the likelihood of reporting a fracture and rate of reported fractures, respectively, over 10 years according to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categories.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r w:rsidR="00E04B02">
        <w:rPr>
          <w:rFonts w:asciiTheme="majorBidi" w:hAnsiTheme="majorBidi" w:cstheme="majorBidi"/>
          <w:lang w:val="en-AU"/>
        </w:rPr>
        <w:t>men had</w:t>
      </w:r>
      <w:r w:rsidRPr="008F2447">
        <w:rPr>
          <w:rFonts w:asciiTheme="majorBidi" w:hAnsiTheme="majorBidi" w:cstheme="majorBidi"/>
        </w:rPr>
        <w:t xml:space="preserve"> over t</w:t>
      </w:r>
      <w:proofErr w:type="spellStart"/>
      <w:r w:rsidR="00D14915">
        <w:rPr>
          <w:rFonts w:asciiTheme="majorBidi" w:hAnsiTheme="majorBidi" w:cstheme="majorBidi"/>
          <w:lang w:val="en-AU"/>
        </w:rPr>
        <w:t>hree</w:t>
      </w:r>
      <w:proofErr w:type="spellEnd"/>
      <w:r w:rsidRPr="008F2447">
        <w:rPr>
          <w:rFonts w:asciiTheme="majorBidi" w:hAnsiTheme="majorBidi" w:cstheme="majorBidi"/>
        </w:rPr>
        <w:t xml:space="preserve">-fold </w:t>
      </w:r>
      <w:r w:rsidR="00E04B02">
        <w:rPr>
          <w:rFonts w:asciiTheme="majorBidi" w:hAnsiTheme="majorBidi" w:cstheme="majorBidi"/>
          <w:lang w:val="en-AU"/>
        </w:rPr>
        <w:t xml:space="preserve">increased rate of non-vertebral fractures compared to both </w:t>
      </w: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and obese alone</w:t>
      </w:r>
      <w:r w:rsidR="00D14915">
        <w:rPr>
          <w:rFonts w:asciiTheme="majorBidi" w:hAnsiTheme="majorBidi" w:cstheme="majorBidi"/>
          <w:lang w:val="en-AU"/>
        </w:rPr>
        <w:t xml:space="preserve"> counterparts</w:t>
      </w:r>
      <w:r w:rsidR="00530688">
        <w:rPr>
          <w:rFonts w:asciiTheme="majorBidi" w:hAnsiTheme="majorBidi" w:cstheme="majorBidi"/>
          <w:lang w:val="en-AU"/>
        </w:rPr>
        <w:t>, after adjustment for age, falls risk score and total hip BMD.</w:t>
      </w:r>
      <w:r w:rsidR="00D37D6F">
        <w:rPr>
          <w:rFonts w:asciiTheme="majorBidi" w:hAnsiTheme="majorBidi" w:cstheme="majorBidi"/>
          <w:lang w:val="en-AU"/>
        </w:rPr>
        <w:t xml:space="preserve"> </w:t>
      </w:r>
      <w:r w:rsidR="00860D22">
        <w:rPr>
          <w:rFonts w:asciiTheme="majorBidi" w:hAnsiTheme="majorBidi" w:cstheme="majorBidi"/>
          <w:lang w:val="en-AU"/>
        </w:rPr>
        <w:t>Before adjustment for total hip BMD, o</w:t>
      </w:r>
      <w:r w:rsidR="00D37D6F">
        <w:rPr>
          <w:rFonts w:asciiTheme="majorBidi" w:hAnsiTheme="majorBidi" w:cstheme="majorBidi"/>
          <w:lang w:val="en-AU"/>
        </w:rPr>
        <w:t xml:space="preserve">bese alone women had approximately half the rate of </w:t>
      </w:r>
      <w:r w:rsidR="005957BE">
        <w:rPr>
          <w:rFonts w:asciiTheme="majorBidi" w:hAnsiTheme="majorBidi" w:cstheme="majorBidi"/>
          <w:lang w:val="en-AU"/>
        </w:rPr>
        <w:t xml:space="preserve">non-vertebral </w:t>
      </w:r>
      <w:r w:rsidR="00D37D6F">
        <w:rPr>
          <w:rFonts w:asciiTheme="majorBidi" w:hAnsiTheme="majorBidi" w:cstheme="majorBidi"/>
          <w:lang w:val="en-AU"/>
        </w:rPr>
        <w:t>fracture</w:t>
      </w:r>
      <w:r w:rsidR="005471DF">
        <w:rPr>
          <w:rFonts w:asciiTheme="majorBidi" w:hAnsiTheme="majorBidi" w:cstheme="majorBidi"/>
          <w:lang w:val="en-AU"/>
        </w:rPr>
        <w:t xml:space="preserve"> compared to non-</w:t>
      </w:r>
      <w:proofErr w:type="spellStart"/>
      <w:r w:rsidR="005471DF">
        <w:rPr>
          <w:rFonts w:asciiTheme="majorBidi" w:hAnsiTheme="majorBidi" w:cstheme="majorBidi"/>
          <w:lang w:val="en-AU"/>
        </w:rPr>
        <w:t>sarcopenic</w:t>
      </w:r>
      <w:proofErr w:type="spellEnd"/>
      <w:r w:rsidR="005471DF">
        <w:rPr>
          <w:rFonts w:asciiTheme="majorBidi" w:hAnsiTheme="majorBidi" w:cstheme="majorBidi"/>
          <w:lang w:val="en-AU"/>
        </w:rPr>
        <w:t xml:space="preserve"> non-obese, and the rate of fracture </w:t>
      </w:r>
      <w:r w:rsidR="005471DF">
        <w:rPr>
          <w:rFonts w:asciiTheme="majorBidi" w:hAnsiTheme="majorBidi" w:cstheme="majorBidi"/>
          <w:lang w:val="en-AU"/>
        </w:rPr>
        <w:lastRenderedPageBreak/>
        <w:t xml:space="preserve">was almost three-fold higher for </w:t>
      </w:r>
      <w:proofErr w:type="spellStart"/>
      <w:r w:rsidR="005471DF">
        <w:rPr>
          <w:rFonts w:asciiTheme="majorBidi" w:hAnsiTheme="majorBidi" w:cstheme="majorBidi"/>
          <w:lang w:val="en-AU"/>
        </w:rPr>
        <w:t>sarcopenic</w:t>
      </w:r>
      <w:proofErr w:type="spellEnd"/>
      <w:r w:rsidR="005471DF">
        <w:rPr>
          <w:rFonts w:asciiTheme="majorBidi" w:hAnsiTheme="majorBidi" w:cstheme="majorBidi"/>
          <w:lang w:val="en-AU"/>
        </w:rPr>
        <w:t xml:space="preserve"> obese compared to obese alone women</w:t>
      </w:r>
      <w:r w:rsidRPr="008F2447">
        <w:rPr>
          <w:rFonts w:asciiTheme="majorBidi" w:hAnsiTheme="majorBidi" w:cstheme="majorBidi"/>
        </w:rPr>
        <w:t xml:space="preserve">. </w:t>
      </w:r>
      <w:r w:rsidR="00AA3845">
        <w:rPr>
          <w:rFonts w:asciiTheme="majorBidi" w:hAnsiTheme="majorBidi" w:cstheme="majorBidi"/>
          <w:lang w:val="en-AU"/>
        </w:rPr>
        <w:t xml:space="preserve">These </w:t>
      </w:r>
      <w:r w:rsidR="00860D22">
        <w:rPr>
          <w:rFonts w:asciiTheme="majorBidi" w:hAnsiTheme="majorBidi" w:cstheme="majorBidi"/>
          <w:lang w:val="en-AU"/>
        </w:rPr>
        <w:t>associations were not significant</w:t>
      </w:r>
      <w:r w:rsidR="003A4B62">
        <w:rPr>
          <w:rFonts w:asciiTheme="majorBidi" w:hAnsiTheme="majorBidi" w:cstheme="majorBidi"/>
          <w:lang w:val="en-AU"/>
        </w:rPr>
        <w:t xml:space="preserve"> after adjustment for baseline total hip BMD, although the higher rate for </w:t>
      </w:r>
      <w:proofErr w:type="spellStart"/>
      <w:r w:rsidR="003A4B62">
        <w:rPr>
          <w:rFonts w:asciiTheme="majorBidi" w:hAnsiTheme="majorBidi" w:cstheme="majorBidi"/>
          <w:lang w:val="en-AU"/>
        </w:rPr>
        <w:t>sarcopenic</w:t>
      </w:r>
      <w:proofErr w:type="spellEnd"/>
      <w:r w:rsidR="003A4B62">
        <w:rPr>
          <w:rFonts w:asciiTheme="majorBidi" w:hAnsiTheme="majorBidi" w:cstheme="majorBidi"/>
          <w:lang w:val="en-AU"/>
        </w:rPr>
        <w:t xml:space="preserve"> obese women</w:t>
      </w:r>
      <w:r w:rsidR="00603BBD">
        <w:rPr>
          <w:rFonts w:asciiTheme="majorBidi" w:hAnsiTheme="majorBidi" w:cstheme="majorBidi"/>
          <w:lang w:val="en-AU"/>
        </w:rPr>
        <w:t xml:space="preserve"> compared to obese women approached significance (P=0.07). </w:t>
      </w:r>
      <w:proofErr w:type="spellStart"/>
      <w:r w:rsidR="00603BBD">
        <w:rPr>
          <w:rFonts w:asciiTheme="majorBidi" w:hAnsiTheme="majorBidi" w:cstheme="majorBidi"/>
          <w:lang w:val="en-AU"/>
        </w:rPr>
        <w:t>Dynapenic</w:t>
      </w:r>
      <w:proofErr w:type="spellEnd"/>
      <w:r w:rsidR="00603BBD">
        <w:rPr>
          <w:rFonts w:asciiTheme="majorBidi" w:hAnsiTheme="majorBidi" w:cstheme="majorBidi"/>
          <w:lang w:val="en-AU"/>
        </w:rPr>
        <w:t xml:space="preserve"> obese men and women did not have increased rates of non-vertebral fracture, but </w:t>
      </w:r>
      <w:r w:rsidR="00667E3B">
        <w:rPr>
          <w:rFonts w:asciiTheme="majorBidi" w:hAnsiTheme="majorBidi" w:cstheme="majorBidi"/>
          <w:lang w:val="en-AU"/>
        </w:rPr>
        <w:t>obese alone men and women had significantly reduced rates of fracture compared to non-</w:t>
      </w:r>
      <w:proofErr w:type="spellStart"/>
      <w:r w:rsidR="00667E3B">
        <w:rPr>
          <w:rFonts w:asciiTheme="majorBidi" w:hAnsiTheme="majorBidi" w:cstheme="majorBidi"/>
          <w:lang w:val="en-AU"/>
        </w:rPr>
        <w:t>dynapenic</w:t>
      </w:r>
      <w:proofErr w:type="spellEnd"/>
      <w:r w:rsidR="00667E3B">
        <w:rPr>
          <w:rFonts w:asciiTheme="majorBidi" w:hAnsiTheme="majorBidi" w:cstheme="majorBidi"/>
          <w:lang w:val="en-AU"/>
        </w:rPr>
        <w:t xml:space="preserve"> non-obese. This association remained significant in men</w:t>
      </w:r>
      <w:r w:rsidR="00AA3845">
        <w:rPr>
          <w:rFonts w:asciiTheme="majorBidi" w:hAnsiTheme="majorBidi" w:cstheme="majorBidi"/>
          <w:lang w:val="en-AU"/>
        </w:rPr>
        <w:t>,</w:t>
      </w:r>
      <w:r w:rsidR="00667E3B">
        <w:rPr>
          <w:rFonts w:asciiTheme="majorBidi" w:hAnsiTheme="majorBidi" w:cstheme="majorBidi"/>
          <w:lang w:val="en-AU"/>
        </w:rPr>
        <w:t xml:space="preserve"> </w:t>
      </w:r>
      <w:r w:rsidR="00AA3845">
        <w:rPr>
          <w:rFonts w:asciiTheme="majorBidi" w:hAnsiTheme="majorBidi" w:cstheme="majorBidi"/>
          <w:lang w:val="en-AU"/>
        </w:rPr>
        <w:t xml:space="preserve">but not in women, </w:t>
      </w:r>
      <w:r w:rsidR="00667E3B">
        <w:rPr>
          <w:rFonts w:asciiTheme="majorBidi" w:hAnsiTheme="majorBidi" w:cstheme="majorBidi"/>
          <w:lang w:val="en-AU"/>
        </w:rPr>
        <w:t>after adjustment for total hip</w:t>
      </w:r>
      <w:r w:rsidR="006642D5">
        <w:rPr>
          <w:rFonts w:asciiTheme="majorBidi" w:hAnsiTheme="majorBidi" w:cstheme="majorBidi"/>
          <w:lang w:val="en-AU"/>
        </w:rPr>
        <w:t xml:space="preserve"> BMD</w:t>
      </w:r>
      <w:proofErr w:type="gramStart"/>
      <w:r w:rsidR="006642D5">
        <w:rPr>
          <w:rFonts w:asciiTheme="majorBidi" w:hAnsiTheme="majorBidi" w:cstheme="majorBidi"/>
          <w:lang w:val="en-AU"/>
        </w:rPr>
        <w:t>,.</w:t>
      </w:r>
      <w:proofErr w:type="gramEnd"/>
      <w:r w:rsidR="006642D5" w:rsidRPr="008F2447" w:rsidDel="006642D5">
        <w:rPr>
          <w:rFonts w:asciiTheme="majorBidi" w:hAnsiTheme="majorBidi" w:cstheme="majorBidi"/>
        </w:rPr>
        <w:t xml:space="preserve"> </w:t>
      </w:r>
      <w:r w:rsidR="0038265A">
        <w:rPr>
          <w:rFonts w:asciiTheme="majorBidi" w:hAnsiTheme="majorBidi" w:cstheme="majorBidi"/>
          <w:lang w:val="en-AU"/>
        </w:rPr>
        <w:t xml:space="preserve"> </w:t>
      </w:r>
    </w:p>
    <w:p w14:paraId="1639FD59" w14:textId="17EF8120" w:rsidR="00D009EA" w:rsidRPr="00AA3845" w:rsidRDefault="00D009EA" w:rsidP="00D009EA">
      <w:pPr>
        <w:spacing w:line="480" w:lineRule="auto"/>
        <w:ind w:firstLine="720"/>
        <w:rPr>
          <w:rFonts w:asciiTheme="majorBidi" w:hAnsiTheme="majorBidi" w:cstheme="majorBidi"/>
        </w:rPr>
      </w:pPr>
      <w:r>
        <w:rPr>
          <w:rFonts w:asciiTheme="majorBidi" w:hAnsiTheme="majorBidi" w:cstheme="majorBidi"/>
          <w:lang w:val="en-AU"/>
        </w:rPr>
        <w:t xml:space="preserve">When combined </w:t>
      </w:r>
      <w:proofErr w:type="spellStart"/>
      <w:r>
        <w:rPr>
          <w:rFonts w:asciiTheme="majorBidi" w:hAnsiTheme="majorBidi" w:cstheme="majorBidi"/>
          <w:lang w:val="en-AU"/>
        </w:rPr>
        <w:t>sarcopenic</w:t>
      </w:r>
      <w:proofErr w:type="spellEnd"/>
      <w:r>
        <w:rPr>
          <w:rFonts w:asciiTheme="majorBidi" w:hAnsiTheme="majorBidi" w:cstheme="majorBidi"/>
          <w:lang w:val="en-AU"/>
        </w:rPr>
        <w:t xml:space="preserve"> and </w:t>
      </w:r>
      <w:proofErr w:type="spellStart"/>
      <w:r>
        <w:rPr>
          <w:rFonts w:asciiTheme="majorBidi" w:hAnsiTheme="majorBidi" w:cstheme="majorBidi"/>
          <w:lang w:val="en-AU"/>
        </w:rPr>
        <w:t>dynapenic</w:t>
      </w:r>
      <w:proofErr w:type="spellEnd"/>
      <w:r>
        <w:rPr>
          <w:rFonts w:asciiTheme="majorBidi" w:hAnsiTheme="majorBidi" w:cstheme="majorBidi"/>
          <w:lang w:val="en-AU"/>
        </w:rPr>
        <w:t xml:space="preserve"> obesity were examined</w:t>
      </w:r>
      <w:r w:rsidR="00561060">
        <w:rPr>
          <w:rFonts w:asciiTheme="majorBidi" w:hAnsiTheme="majorBidi" w:cstheme="majorBidi"/>
          <w:lang w:val="en-AU"/>
        </w:rPr>
        <w:t xml:space="preserve"> (Table 5)</w:t>
      </w:r>
      <w:r>
        <w:rPr>
          <w:rFonts w:asciiTheme="majorBidi" w:hAnsiTheme="majorBidi" w:cstheme="majorBidi"/>
          <w:lang w:val="en-AU"/>
        </w:rPr>
        <w:t xml:space="preserve">, the number of participants in each group was substantially reduced and no significant associations with incident non-vertebral fractures were observed in men. </w:t>
      </w:r>
      <w:r w:rsidR="00561060">
        <w:rPr>
          <w:rFonts w:asciiTheme="majorBidi" w:hAnsiTheme="majorBidi" w:cstheme="majorBidi"/>
          <w:lang w:val="en-AU"/>
        </w:rPr>
        <w:t>However, i</w:t>
      </w:r>
      <w:r>
        <w:rPr>
          <w:rFonts w:asciiTheme="majorBidi" w:hAnsiTheme="majorBidi" w:cstheme="majorBidi"/>
          <w:lang w:val="en-AU"/>
        </w:rPr>
        <w:t xml:space="preserve">n women, there was a significantly lower fracture rate in </w:t>
      </w:r>
      <w:r w:rsidR="00561060">
        <w:rPr>
          <w:rFonts w:asciiTheme="majorBidi" w:hAnsiTheme="majorBidi" w:cstheme="majorBidi"/>
          <w:lang w:val="en-AU"/>
        </w:rPr>
        <w:t xml:space="preserve">both </w:t>
      </w:r>
      <w:r>
        <w:rPr>
          <w:rFonts w:asciiTheme="majorBidi" w:hAnsiTheme="majorBidi" w:cstheme="majorBidi"/>
          <w:lang w:val="en-AU"/>
        </w:rPr>
        <w:t xml:space="preserve">obese alone </w:t>
      </w:r>
      <w:r w:rsidR="00561060">
        <w:rPr>
          <w:rFonts w:asciiTheme="majorBidi" w:hAnsiTheme="majorBidi" w:cstheme="majorBidi"/>
          <w:lang w:val="en-AU"/>
        </w:rPr>
        <w:t xml:space="preserve">and </w:t>
      </w:r>
      <w:proofErr w:type="spellStart"/>
      <w:r w:rsidR="00561060">
        <w:rPr>
          <w:rFonts w:asciiTheme="majorBidi" w:hAnsiTheme="majorBidi" w:cstheme="majorBidi"/>
          <w:lang w:val="en-AU"/>
        </w:rPr>
        <w:t>sarcopenic</w:t>
      </w:r>
      <w:proofErr w:type="spellEnd"/>
      <w:r w:rsidR="00561060">
        <w:rPr>
          <w:rFonts w:asciiTheme="majorBidi" w:hAnsiTheme="majorBidi" w:cstheme="majorBidi"/>
          <w:lang w:val="en-AU"/>
        </w:rPr>
        <w:t xml:space="preserve"> and </w:t>
      </w:r>
      <w:proofErr w:type="spellStart"/>
      <w:r w:rsidR="00561060">
        <w:rPr>
          <w:rFonts w:asciiTheme="majorBidi" w:hAnsiTheme="majorBidi" w:cstheme="majorBidi"/>
          <w:lang w:val="en-AU"/>
        </w:rPr>
        <w:t>dynapenic</w:t>
      </w:r>
      <w:proofErr w:type="spellEnd"/>
      <w:r w:rsidR="00561060">
        <w:rPr>
          <w:rFonts w:asciiTheme="majorBidi" w:hAnsiTheme="majorBidi" w:cstheme="majorBidi"/>
          <w:lang w:val="en-AU"/>
        </w:rPr>
        <w:t xml:space="preserve"> alone </w:t>
      </w:r>
      <w:r>
        <w:rPr>
          <w:rFonts w:asciiTheme="majorBidi" w:hAnsiTheme="majorBidi" w:cstheme="majorBidi"/>
          <w:lang w:val="en-AU"/>
        </w:rPr>
        <w:t>compared to non-</w:t>
      </w:r>
      <w:proofErr w:type="spellStart"/>
      <w:r>
        <w:rPr>
          <w:rFonts w:asciiTheme="majorBidi" w:hAnsiTheme="majorBidi" w:cstheme="majorBidi"/>
          <w:lang w:val="en-AU"/>
        </w:rPr>
        <w:t>sarcopenic</w:t>
      </w:r>
      <w:proofErr w:type="spellEnd"/>
      <w:r>
        <w:rPr>
          <w:rFonts w:asciiTheme="majorBidi" w:hAnsiTheme="majorBidi" w:cstheme="majorBidi"/>
          <w:lang w:val="en-AU"/>
        </w:rPr>
        <w:t xml:space="preserve"> and non-</w:t>
      </w:r>
      <w:proofErr w:type="spellStart"/>
      <w:r>
        <w:rPr>
          <w:rFonts w:asciiTheme="majorBidi" w:hAnsiTheme="majorBidi" w:cstheme="majorBidi"/>
          <w:lang w:val="en-AU"/>
        </w:rPr>
        <w:t>dynapenic</w:t>
      </w:r>
      <w:proofErr w:type="spellEnd"/>
      <w:r>
        <w:rPr>
          <w:rFonts w:asciiTheme="majorBidi" w:hAnsiTheme="majorBidi" w:cstheme="majorBidi"/>
          <w:lang w:val="en-AU"/>
        </w:rPr>
        <w:t xml:space="preserve"> non-obese. </w:t>
      </w:r>
      <w:proofErr w:type="spellStart"/>
      <w:r>
        <w:rPr>
          <w:rFonts w:asciiTheme="majorBidi" w:hAnsiTheme="majorBidi" w:cstheme="majorBidi"/>
          <w:lang w:val="en-AU"/>
        </w:rPr>
        <w:t>Sarcopenic</w:t>
      </w:r>
      <w:proofErr w:type="spellEnd"/>
      <w:r>
        <w:rPr>
          <w:rFonts w:asciiTheme="majorBidi" w:hAnsiTheme="majorBidi" w:cstheme="majorBidi"/>
          <w:lang w:val="en-AU"/>
        </w:rPr>
        <w:t xml:space="preserve"> and </w:t>
      </w:r>
      <w:proofErr w:type="spellStart"/>
      <w:r>
        <w:rPr>
          <w:rFonts w:asciiTheme="majorBidi" w:hAnsiTheme="majorBidi" w:cstheme="majorBidi"/>
          <w:lang w:val="en-AU"/>
        </w:rPr>
        <w:t>dynapenic</w:t>
      </w:r>
      <w:proofErr w:type="spellEnd"/>
      <w:r>
        <w:rPr>
          <w:rFonts w:asciiTheme="majorBidi" w:hAnsiTheme="majorBidi" w:cstheme="majorBidi"/>
          <w:lang w:val="en-AU"/>
        </w:rPr>
        <w:t xml:space="preserve"> obese women had over three-fold higher rate of fracture than obese alone, but this association was no longer significant (P=0.07) after adjustment for total hip BMD.</w:t>
      </w:r>
    </w:p>
    <w:p w14:paraId="2EC285B4" w14:textId="77777777" w:rsidR="00575EFD" w:rsidRPr="008F2447" w:rsidRDefault="00944A64" w:rsidP="00AA3845">
      <w:pPr>
        <w:rPr>
          <w:rFonts w:asciiTheme="majorBidi" w:hAnsiTheme="majorBidi" w:cstheme="majorBidi"/>
          <w:b/>
          <w:bCs/>
        </w:rPr>
      </w:pPr>
      <w:r w:rsidRPr="008F2447">
        <w:rPr>
          <w:rFonts w:asciiTheme="majorBidi" w:hAnsiTheme="majorBidi" w:cstheme="majorBidi"/>
          <w:b/>
          <w:bCs/>
        </w:rPr>
        <w:br w:type="page"/>
      </w:r>
    </w:p>
    <w:p w14:paraId="779018B0" w14:textId="77777777" w:rsidR="00575EFD" w:rsidRPr="008F2447" w:rsidRDefault="00944A64">
      <w:pPr>
        <w:spacing w:line="480" w:lineRule="auto"/>
        <w:rPr>
          <w:rFonts w:asciiTheme="majorBidi" w:hAnsiTheme="majorBidi" w:cstheme="majorBidi"/>
          <w:b/>
          <w:bCs/>
        </w:rPr>
      </w:pPr>
      <w:r w:rsidRPr="008F2447">
        <w:rPr>
          <w:rFonts w:asciiTheme="majorBidi" w:hAnsiTheme="majorBidi" w:cstheme="majorBidi"/>
          <w:b/>
          <w:bCs/>
        </w:rPr>
        <w:lastRenderedPageBreak/>
        <w:t>Discussion</w:t>
      </w:r>
    </w:p>
    <w:p w14:paraId="6E101105" w14:textId="1424BE99" w:rsidR="00575EFD" w:rsidRPr="008F2447" w:rsidRDefault="00944A64" w:rsidP="00E1428F">
      <w:pPr>
        <w:spacing w:line="480" w:lineRule="auto"/>
        <w:rPr>
          <w:rFonts w:asciiTheme="majorBidi" w:hAnsiTheme="majorBidi" w:cstheme="majorBidi"/>
        </w:rPr>
      </w:pPr>
      <w:r w:rsidRPr="008F2447">
        <w:rPr>
          <w:rFonts w:asciiTheme="majorBidi" w:hAnsiTheme="majorBidi" w:cstheme="majorBidi"/>
        </w:rPr>
        <w:tab/>
      </w:r>
      <w:r w:rsidR="004920C4">
        <w:rPr>
          <w:rFonts w:asciiTheme="majorBidi" w:hAnsiTheme="majorBidi" w:cstheme="majorBidi"/>
        </w:rPr>
        <w:t>The primary finding of t</w:t>
      </w:r>
      <w:r w:rsidRPr="008F2447">
        <w:rPr>
          <w:rFonts w:asciiTheme="majorBidi" w:hAnsiTheme="majorBidi" w:cstheme="majorBidi"/>
        </w:rPr>
        <w:t xml:space="preserve">his population-based study of community-dwelling older adults </w:t>
      </w:r>
      <w:r w:rsidR="004920C4">
        <w:rPr>
          <w:rFonts w:asciiTheme="majorBidi" w:hAnsiTheme="majorBidi" w:cstheme="majorBidi"/>
        </w:rPr>
        <w:t xml:space="preserve">was </w:t>
      </w:r>
      <w:r w:rsidRPr="008F2447">
        <w:rPr>
          <w:rFonts w:asciiTheme="majorBidi" w:hAnsiTheme="majorBidi" w:cstheme="majorBidi"/>
        </w:rPr>
        <w:t xml:space="preserve">that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r w:rsidR="004920C4">
        <w:rPr>
          <w:rFonts w:asciiTheme="majorBidi" w:hAnsiTheme="majorBidi" w:cstheme="majorBidi"/>
        </w:rPr>
        <w:t>older men have over three-fold increased rate of self-reported fractures over 10 years compared to both non-</w:t>
      </w:r>
      <w:proofErr w:type="spellStart"/>
      <w:r w:rsidR="004920C4">
        <w:rPr>
          <w:rFonts w:asciiTheme="majorBidi" w:hAnsiTheme="majorBidi" w:cstheme="majorBidi"/>
        </w:rPr>
        <w:t>sarcopenic</w:t>
      </w:r>
      <w:proofErr w:type="spellEnd"/>
      <w:r w:rsidR="004920C4">
        <w:rPr>
          <w:rFonts w:asciiTheme="majorBidi" w:hAnsiTheme="majorBidi" w:cstheme="majorBidi"/>
        </w:rPr>
        <w:t xml:space="preserve"> non-obese and obese alone counterparts. Older women with </w:t>
      </w:r>
      <w:proofErr w:type="spellStart"/>
      <w:r w:rsidR="004920C4">
        <w:rPr>
          <w:rFonts w:asciiTheme="majorBidi" w:hAnsiTheme="majorBidi" w:cstheme="majorBidi"/>
        </w:rPr>
        <w:t>sarcopenic</w:t>
      </w:r>
      <w:proofErr w:type="spellEnd"/>
      <w:r w:rsidR="004920C4">
        <w:rPr>
          <w:rFonts w:asciiTheme="majorBidi" w:hAnsiTheme="majorBidi" w:cstheme="majorBidi"/>
        </w:rPr>
        <w:t xml:space="preserve"> obesity, and </w:t>
      </w:r>
      <w:r w:rsidR="00E1428F">
        <w:rPr>
          <w:rFonts w:asciiTheme="majorBidi" w:hAnsiTheme="majorBidi" w:cstheme="majorBidi"/>
        </w:rPr>
        <w:t xml:space="preserve">also </w:t>
      </w:r>
      <w:r w:rsidR="004920C4">
        <w:rPr>
          <w:rFonts w:asciiTheme="majorBidi" w:hAnsiTheme="majorBidi" w:cstheme="majorBidi"/>
        </w:rPr>
        <w:t xml:space="preserve">combined </w:t>
      </w:r>
      <w:proofErr w:type="spellStart"/>
      <w:r w:rsidR="004920C4">
        <w:rPr>
          <w:rFonts w:asciiTheme="majorBidi" w:hAnsiTheme="majorBidi" w:cstheme="majorBidi"/>
        </w:rPr>
        <w:t>sarcopenic</w:t>
      </w:r>
      <w:proofErr w:type="spellEnd"/>
      <w:r w:rsidR="004920C4">
        <w:rPr>
          <w:rFonts w:asciiTheme="majorBidi" w:hAnsiTheme="majorBidi" w:cstheme="majorBidi"/>
        </w:rPr>
        <w:t xml:space="preserve"> </w:t>
      </w:r>
      <w:r w:rsidRPr="008F2447">
        <w:rPr>
          <w:rFonts w:asciiTheme="majorBidi" w:hAnsiTheme="majorBidi" w:cstheme="majorBidi"/>
        </w:rPr>
        <w:t>and</w:t>
      </w:r>
      <w:r w:rsidR="004920C4">
        <w:rPr>
          <w:rFonts w:asciiTheme="majorBidi" w:hAnsiTheme="majorBidi" w:cstheme="majorBidi"/>
        </w:rPr>
        <w:t xml:space="preserve"> </w:t>
      </w:r>
      <w:proofErr w:type="spellStart"/>
      <w:r w:rsidR="004920C4">
        <w:rPr>
          <w:rFonts w:asciiTheme="majorBidi" w:hAnsiTheme="majorBidi" w:cstheme="majorBidi"/>
        </w:rPr>
        <w:t>dynapenic</w:t>
      </w:r>
      <w:proofErr w:type="spellEnd"/>
      <w:r w:rsidR="004920C4">
        <w:rPr>
          <w:rFonts w:asciiTheme="majorBidi" w:hAnsiTheme="majorBidi" w:cstheme="majorBidi"/>
        </w:rPr>
        <w:t xml:space="preserve"> obesity</w:t>
      </w:r>
      <w:r w:rsidR="00E1428F">
        <w:rPr>
          <w:rFonts w:asciiTheme="majorBidi" w:hAnsiTheme="majorBidi" w:cstheme="majorBidi"/>
        </w:rPr>
        <w:t>, similarly</w:t>
      </w:r>
      <w:r w:rsidR="004920C4">
        <w:rPr>
          <w:rFonts w:asciiTheme="majorBidi" w:hAnsiTheme="majorBidi" w:cstheme="majorBidi"/>
        </w:rPr>
        <w:t xml:space="preserve"> had increased risk of fracture compared to obese alone counterparts, but this </w:t>
      </w:r>
      <w:r w:rsidR="00E1428F">
        <w:rPr>
          <w:rFonts w:asciiTheme="majorBidi" w:hAnsiTheme="majorBidi" w:cstheme="majorBidi"/>
        </w:rPr>
        <w:t xml:space="preserve">was </w:t>
      </w:r>
      <w:r w:rsidR="004920C4">
        <w:rPr>
          <w:rFonts w:asciiTheme="majorBidi" w:hAnsiTheme="majorBidi" w:cstheme="majorBidi"/>
        </w:rPr>
        <w:t>mediated by BMD.</w:t>
      </w:r>
      <w:r w:rsidR="00E1428F">
        <w:rPr>
          <w:rFonts w:asciiTheme="majorBidi" w:hAnsiTheme="majorBidi" w:cstheme="majorBidi"/>
        </w:rPr>
        <w:t xml:space="preserve"> Inconsistent associations were observed for change in BMD over five years according to </w:t>
      </w:r>
      <w:proofErr w:type="spellStart"/>
      <w:r w:rsidR="00E1428F">
        <w:rPr>
          <w:rFonts w:asciiTheme="majorBidi" w:hAnsiTheme="majorBidi" w:cstheme="majorBidi"/>
        </w:rPr>
        <w:t>sarcopenic</w:t>
      </w:r>
      <w:proofErr w:type="spellEnd"/>
      <w:r w:rsidR="00E1428F">
        <w:rPr>
          <w:rFonts w:asciiTheme="majorBidi" w:hAnsiTheme="majorBidi" w:cstheme="majorBidi"/>
        </w:rPr>
        <w:t xml:space="preserve"> and </w:t>
      </w:r>
      <w:proofErr w:type="spellStart"/>
      <w:r w:rsidR="00E1428F">
        <w:rPr>
          <w:rFonts w:asciiTheme="majorBidi" w:hAnsiTheme="majorBidi" w:cstheme="majorBidi"/>
        </w:rPr>
        <w:t>dynapenic</w:t>
      </w:r>
      <w:proofErr w:type="spellEnd"/>
      <w:r w:rsidR="00E1428F">
        <w:rPr>
          <w:rFonts w:asciiTheme="majorBidi" w:hAnsiTheme="majorBidi" w:cstheme="majorBidi"/>
        </w:rPr>
        <w:t xml:space="preserve"> obesity categories, however obese alone, but not </w:t>
      </w:r>
      <w:proofErr w:type="spellStart"/>
      <w:r w:rsidR="00E1428F">
        <w:rPr>
          <w:rFonts w:asciiTheme="majorBidi" w:hAnsiTheme="majorBidi" w:cstheme="majorBidi"/>
        </w:rPr>
        <w:t>sarcopenic</w:t>
      </w:r>
      <w:proofErr w:type="spellEnd"/>
      <w:r w:rsidR="00E1428F">
        <w:rPr>
          <w:rFonts w:asciiTheme="majorBidi" w:hAnsiTheme="majorBidi" w:cstheme="majorBidi"/>
        </w:rPr>
        <w:t xml:space="preserve"> obese, participants demonstrated a lower incidence of osteoporosis and osteopenia over five years, and </w:t>
      </w:r>
      <w:proofErr w:type="spellStart"/>
      <w:r w:rsidR="00E1428F">
        <w:rPr>
          <w:rFonts w:asciiTheme="majorBidi" w:hAnsiTheme="majorBidi" w:cstheme="majorBidi"/>
        </w:rPr>
        <w:t>dynapenic</w:t>
      </w:r>
      <w:proofErr w:type="spellEnd"/>
      <w:r w:rsidR="00E1428F">
        <w:rPr>
          <w:rFonts w:asciiTheme="majorBidi" w:hAnsiTheme="majorBidi" w:cstheme="majorBidi"/>
        </w:rPr>
        <w:t xml:space="preserve"> obese participants had significantly increased incidence of osteoporosis and osteopenia</w:t>
      </w:r>
      <w:r w:rsidR="00091FD7">
        <w:rPr>
          <w:rFonts w:asciiTheme="majorBidi" w:hAnsiTheme="majorBidi" w:cstheme="majorBidi"/>
        </w:rPr>
        <w:t xml:space="preserve"> compared to obese alone</w:t>
      </w:r>
      <w:r w:rsidR="00E1428F">
        <w:rPr>
          <w:rFonts w:asciiTheme="majorBidi" w:hAnsiTheme="majorBidi" w:cstheme="majorBidi"/>
        </w:rPr>
        <w:t>.</w:t>
      </w:r>
      <w:r w:rsidRPr="008F2447">
        <w:rPr>
          <w:rFonts w:asciiTheme="majorBidi" w:hAnsiTheme="majorBidi" w:cstheme="majorBidi"/>
        </w:rPr>
        <w:t xml:space="preserve"> Taken together, these results suggest that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 may be associated with poorer bone health and increased fracture risk, at least in comparison with obesity alone, </w:t>
      </w:r>
      <w:r w:rsidR="00E1428F">
        <w:rPr>
          <w:rFonts w:asciiTheme="majorBidi" w:hAnsiTheme="majorBidi" w:cstheme="majorBidi"/>
        </w:rPr>
        <w:t>but that mechanisms by which these conditions contribute to increased fracture risk may be sex-specific</w:t>
      </w:r>
      <w:r w:rsidRPr="008F2447">
        <w:rPr>
          <w:rFonts w:asciiTheme="majorBidi" w:hAnsiTheme="majorBidi" w:cstheme="majorBidi"/>
        </w:rPr>
        <w:t>.</w:t>
      </w:r>
    </w:p>
    <w:p w14:paraId="7969DB08" w14:textId="6D5B9EB6" w:rsidR="00575EFD" w:rsidRPr="008F2447" w:rsidRDefault="00944A64" w:rsidP="00A96834">
      <w:pPr>
        <w:spacing w:line="480" w:lineRule="auto"/>
        <w:rPr>
          <w:rFonts w:asciiTheme="majorBidi" w:hAnsiTheme="majorBidi" w:cstheme="majorBidi"/>
          <w:color w:val="000000"/>
          <w:lang w:val="en-AU"/>
        </w:rPr>
      </w:pPr>
      <w:r w:rsidRPr="008F2447">
        <w:rPr>
          <w:rFonts w:asciiTheme="majorBidi" w:hAnsiTheme="majorBidi" w:cstheme="majorBidi"/>
          <w:color w:val="000000"/>
          <w:lang w:val="en-AU"/>
        </w:rPr>
        <w:tab/>
        <w:t xml:space="preserve">This is the first prospective population-based study to investigate associations of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with BMD and fractures in older adults. Baseline results from a previous falls prevention trial in </w:t>
      </w:r>
      <w:r w:rsidR="00E1428F">
        <w:rPr>
          <w:rFonts w:asciiTheme="majorBidi" w:hAnsiTheme="majorBidi" w:cstheme="majorBidi"/>
          <w:color w:val="000000"/>
          <w:lang w:val="en-AU"/>
        </w:rPr>
        <w:t xml:space="preserve">New Zealand </w:t>
      </w:r>
      <w:r w:rsidRPr="008F2447">
        <w:rPr>
          <w:rFonts w:asciiTheme="majorBidi" w:hAnsiTheme="majorBidi" w:cstheme="majorBidi"/>
          <w:color w:val="000000"/>
          <w:lang w:val="en-AU"/>
        </w:rPr>
        <w:t xml:space="preserve">reported that the highest prevalence of femoral neck osteoporosis (22%) was observed in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alone, followed by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obese (17%), non-</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non-obese (12%) and obese alone (7%)</w:t>
      </w:r>
      <w:r w:rsidR="00E1428F">
        <w:rPr>
          <w:rFonts w:asciiTheme="majorBidi" w:hAnsiTheme="majorBidi" w:cstheme="majorBidi"/>
          <w:color w:val="000000"/>
          <w:lang w:val="en-AU"/>
        </w:rPr>
        <w:t xml:space="preserve"> older adults</w:t>
      </w:r>
      <w:r w:rsidRPr="008F2447">
        <w:rPr>
          <w:rFonts w:asciiTheme="majorBidi" w:hAnsiTheme="majorBidi" w:cstheme="majorBidi"/>
          <w:color w:val="000000"/>
          <w:lang w:val="en-AU"/>
        </w:rPr>
        <w:t xml:space="preserve">, although no significant differences were reported between these groups </w:t>
      </w:r>
      <w:r w:rsidR="008B481D" w:rsidRPr="008F2447">
        <w:rPr>
          <w:rFonts w:asciiTheme="majorBidi" w:hAnsiTheme="majorBidi" w:cstheme="majorBidi"/>
          <w:color w:val="000000"/>
          <w:lang w:val="en-AU"/>
        </w:rPr>
        <w:fldChar w:fldCharType="begin"/>
      </w:r>
      <w:r w:rsidR="00B57F6D">
        <w:rPr>
          <w:rFonts w:asciiTheme="majorBidi" w:hAnsiTheme="majorBidi" w:cstheme="majorBidi"/>
          <w:color w:val="000000"/>
          <w:lang w:val="en-AU"/>
        </w:rPr>
        <w:instrText xml:space="preserve"> ADDIN EN.CITE &lt;EndNote&gt;&lt;Cite&gt;&lt;Author&gt;Waters&lt;/Author&gt;&lt;Year&gt;2010&lt;/Year&gt;&lt;RecNum&gt;1001&lt;/RecNum&gt;&lt;DisplayText&gt;[10]&lt;/DisplayText&gt;&lt;record&gt;&lt;rec-number&gt;1001&lt;/rec-number&gt;&lt;foreign-keys&gt;&lt;key app="EN" db-id="0szssftsn5vfs8eepaz5ew9hxvx5dsfds9z5" timestamp="1357098996"&gt;1001&lt;/key&gt;&lt;/foreign-keys&gt;&lt;ref-type name="Journal Article"&gt;17&lt;/ref-type&gt;&lt;contributors&gt;&lt;authors&gt;&lt;author&gt;Waters, DL&lt;/author&gt;&lt;author&gt;Hale, L.&lt;/author&gt;&lt;author&gt;Grant, AM&lt;/author&gt;&lt;author&gt;Herbison, P.&lt;/author&gt;&lt;author&gt;Goulding, A.&lt;/author&gt;&lt;/authors&gt;&lt;/contributors&gt;&lt;titles&gt;&lt;title&gt;Osteoporosis and gait and balance disturbances in older sarcopenic obese New Zealanders&lt;/title&gt;&lt;secondary-title&gt;Osteoporosis International&lt;/secondary-title&gt;&lt;/titles&gt;&lt;periodical&gt;&lt;full-title&gt;Osteoporosis International&lt;/full-title&gt;&lt;abbr-1&gt;Osteoporos. Int.&lt;/abbr-1&gt;&lt;abbr-2&gt;Osteoporos Int&lt;/abbr-2&gt;&lt;/periodical&gt;&lt;pages&gt;351-357&lt;/pages&gt;&lt;volume&gt;21&lt;/volume&gt;&lt;number&gt;2&lt;/number&gt;&lt;dates&gt;&lt;year&gt;2010&lt;/year&gt;&lt;/dates&gt;&lt;isbn&gt;0937-941X&lt;/isbn&gt;&lt;urls&gt;&lt;/urls&gt;&lt;/record&gt;&lt;/Cite&gt;&lt;/EndNote&gt;</w:instrText>
      </w:r>
      <w:r w:rsidR="008B481D" w:rsidRPr="008F2447">
        <w:rPr>
          <w:rFonts w:asciiTheme="majorBidi" w:hAnsiTheme="majorBidi" w:cstheme="majorBidi"/>
          <w:color w:val="000000"/>
          <w:lang w:val="en-AU"/>
        </w:rPr>
        <w:fldChar w:fldCharType="separate"/>
      </w:r>
      <w:r w:rsidR="00B57F6D">
        <w:rPr>
          <w:rFonts w:asciiTheme="majorBidi" w:hAnsiTheme="majorBidi" w:cstheme="majorBidi"/>
          <w:noProof/>
          <w:color w:val="000000"/>
          <w:lang w:val="en-AU"/>
        </w:rPr>
        <w:t>[10]</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We similarly observed significantly higher prevalence of total hip osteoporosis/osteopenia in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alone (36%</w:t>
      </w:r>
      <w:proofErr w:type="gramStart"/>
      <w:r w:rsidRPr="008F2447">
        <w:rPr>
          <w:rFonts w:asciiTheme="majorBidi" w:hAnsiTheme="majorBidi" w:cstheme="majorBidi"/>
          <w:color w:val="000000"/>
          <w:lang w:val="en-AU"/>
        </w:rPr>
        <w:t>)  compared</w:t>
      </w:r>
      <w:proofErr w:type="gramEnd"/>
      <w:r w:rsidRPr="008F2447">
        <w:rPr>
          <w:rFonts w:asciiTheme="majorBidi" w:hAnsiTheme="majorBidi" w:cstheme="majorBidi"/>
          <w:color w:val="000000"/>
          <w:lang w:val="en-AU"/>
        </w:rPr>
        <w:t xml:space="preserve"> to obese alone (7%) individuals at baseline, and prevalence was also significantly higher for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obese (18%) compared with obese alone. The prevalence of total hip osteoporosis/osteopenia was, however, significantly lower for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obese compared </w:t>
      </w:r>
      <w:r w:rsidRPr="008F2447">
        <w:rPr>
          <w:rFonts w:asciiTheme="majorBidi" w:hAnsiTheme="majorBidi" w:cstheme="majorBidi"/>
          <w:color w:val="000000"/>
          <w:lang w:val="en-AU"/>
        </w:rPr>
        <w:lastRenderedPageBreak/>
        <w:t xml:space="preserve">with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alone, consistent with a previous small study of Canadian obese post-menopausal women that suggested that obesity may provide some protection against osteoporosis in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individuals </w:t>
      </w:r>
      <w:r w:rsidR="008B481D" w:rsidRPr="008F2447">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&lt;EndNote&gt;&lt;Cite&gt;&lt;Author&gt;Aubertin-Leheudre&lt;/Author&gt;&lt;Year&gt;2008&lt;/Year&gt;&lt;RecNum&gt;2081&lt;/RecNum&gt;&lt;DisplayText&gt;[23]&lt;/DisplayText&gt;&lt;record&gt;&lt;rec-number&gt;2081&lt;/rec-number&gt;&lt;foreign-keys&gt;&lt;key app="EN" db-id="0szssftsn5vfs8eepaz5ew9hxvx5dsfds9z5" timestamp="1415840625"&gt;2081&lt;/key&gt;&lt;/foreign-keys&gt;&lt;ref-type name="Journal Article"&gt;17&lt;/ref-type&gt;&lt;contributors&gt;&lt;authors&gt;&lt;author&gt;Aubertin-Leheudre, Mylène&lt;/author&gt;&lt;author&gt;Lord, Christine&lt;/author&gt;&lt;author&gt;Labonté, Mélissa&lt;/author&gt;&lt;author&gt;Khalil, Abdelouahed&lt;/author&gt;&lt;author&gt;Dionne, Isabelle J&lt;/author&gt;&lt;/authors&gt;&lt;/contributors&gt;&lt;titles&gt;&lt;title&gt;Relationship between sarcopenia and fracture risks in obese postmenopausal women&lt;/title&gt;&lt;secondary-title&gt;Journal of women and aging&lt;/secondary-title&gt;&lt;/titles&gt;&lt;periodical&gt;&lt;full-title&gt;Journal of Women and Aging&lt;/full-title&gt;&lt;abbr-1&gt;J. Women Aging&lt;/abbr-1&gt;&lt;abbr-2&gt;J Women Aging&lt;/abbr-2&gt;&lt;/periodical&gt;&lt;pages&gt;297-308&lt;/pages&gt;&lt;volume&gt;20&lt;/volume&gt;&lt;number&gt;3-4&lt;/number&gt;&lt;dates&gt;&lt;year&gt;2008&lt;/year&gt;&lt;/dates&gt;&lt;isbn&gt;0895-2841&lt;/isbn&gt;&lt;urls&gt;&lt;/urls&gt;&lt;/record&gt;&lt;/Cite&gt;&lt;/EndNote&gt;</w:instrText>
      </w:r>
      <w:r w:rsidR="008B481D" w:rsidRPr="008F2447">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[23]</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w:t>
      </w:r>
    </w:p>
    <w:p w14:paraId="6D04C999" w14:textId="49E5066F" w:rsidR="00575EFD" w:rsidRPr="008F2447" w:rsidRDefault="00944A64" w:rsidP="00A96834">
      <w:pPr>
        <w:spacing w:line="480" w:lineRule="auto"/>
        <w:ind w:firstLine="720"/>
        <w:rPr>
          <w:rFonts w:asciiTheme="majorBidi" w:hAnsiTheme="majorBidi" w:cstheme="majorBidi"/>
        </w:rPr>
      </w:pPr>
      <w:r w:rsidRPr="008F2447">
        <w:rPr>
          <w:rFonts w:asciiTheme="majorBidi" w:hAnsiTheme="majorBidi" w:cstheme="majorBidi"/>
          <w:color w:val="000000"/>
          <w:lang w:val="en-AU"/>
        </w:rPr>
        <w:t xml:space="preserve">The effects of fat mass on bone health are controversial. A recent cross-sectional study of over 17,000 participants demonstrated that both low muscle mass and strength were generally positively associated with DXA-assessed BMD, but fat mass demonstrated sex-specific negative associations with BMD </w:t>
      </w:r>
      <w:r w:rsidR="008B481D" w:rsidRPr="008F2447">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&lt;EndNote&gt;&lt;Cite&gt;&lt;Author&gt;He&lt;/Author&gt;&lt;Year&gt;2015&lt;/Year&gt;&lt;RecNum&gt;2505&lt;/RecNum&gt;&lt;DisplayText&gt;[24]&lt;/DisplayText&gt;&lt;record&gt;&lt;rec-number&gt;2505&lt;/rec-number&gt;&lt;foreign-keys&gt;&lt;key app="EN" db-id="0szssftsn5vfs8eepaz5ew9hxvx5dsfds9z5" timestamp="1439272755"&gt;2505&lt;/key&gt;&lt;/foreign-keys&gt;&lt;ref-type name="Journal Article"&gt;17&lt;/ref-type&gt;&lt;contributors&gt;&lt;authors&gt;&lt;author&gt;He, H&lt;/author&gt;&lt;author&gt;Liu, Y&lt;/author&gt;&lt;author&gt;Tian, Q&lt;/author&gt;&lt;author&gt;Papasian, CJ&lt;/author&gt;&lt;author&gt;Hu, T&lt;/author&gt;&lt;author&gt;Deng, H-W&lt;/author&gt;&lt;/authors&gt;&lt;/contributors&gt;&lt;titles&gt;&lt;title&gt;Relationship of sarcopenia and body composition with osteoporosis&lt;/title&gt;&lt;secondary-title&gt;Osteoporosis International&lt;/secondary-title&gt;&lt;/titles&gt;&lt;periodical&gt;&lt;full-title&gt;Osteoporosis International&lt;/full-title&gt;&lt;abbr-1&gt;Osteoporos. Int.&lt;/abbr-1&gt;&lt;abbr-2&gt;Osteoporos Int&lt;/abbr-2&gt;&lt;/periodical&gt;&lt;pages&gt;1-10&lt;/pages&gt;&lt;dates&gt;&lt;year&gt;2015&lt;/year&gt;&lt;/dates&gt;&lt;isbn&gt;0937-941X&lt;/isbn&gt;&lt;urls&gt;&lt;/urls&gt;&lt;/record&gt;&lt;/Cite&gt;&lt;/EndNote&gt;</w:instrText>
      </w:r>
      <w:r w:rsidR="008B481D" w:rsidRPr="008F2447">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[24]</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Previous cross-sectional analyses of the Hertfordshire Cohort Study similarly reported that both muscle mass and strength are positively associated with bone size and strength </w:t>
      </w:r>
      <w:r w:rsidR="008B481D" w:rsidRPr="008F2447">
        <w:rPr>
          <w:rFonts w:asciiTheme="majorBidi" w:hAnsiTheme="majorBidi" w:cstheme="majorBidi"/>
          <w:color w:val="000000"/>
          <w:lang w:val="en-AU"/>
        </w:rPr>
        <w:fldChar w:fldCharType="begin"/>
      </w:r>
      <w:r w:rsidR="00B57F6D">
        <w:rPr>
          <w:rFonts w:asciiTheme="majorBidi" w:hAnsiTheme="majorBidi" w:cstheme="majorBidi"/>
          <w:color w:val="000000"/>
          <w:lang w:val="en-AU"/>
        </w:rPr>
        <w:instrText xml:space="preserve"> ADDIN EN.CITE &lt;EndNote&gt;&lt;Cite&gt;&lt;Author&gt;Edwards&lt;/Author&gt;&lt;Year&gt;2013&lt;/Year&gt;&lt;RecNum&gt;1121&lt;/RecNum&gt;&lt;DisplayText&gt;[6]&lt;/DisplayText&gt;&lt;record&gt;&lt;rec-number&gt;1121&lt;/rec-number&gt;&lt;foreign-keys&gt;&lt;key app="EN" db-id="0szssftsn5vfs8eepaz5ew9hxvx5dsfds9z5" timestamp="1367470588"&gt;1121&lt;/key&gt;&lt;/foreign-keys&gt;&lt;ref-type name="Journal Article"&gt;17&lt;/ref-type&gt;&lt;contributors&gt;&lt;authors&gt;&lt;author&gt;Edwards, M. H.&lt;/author&gt;&lt;author&gt;Gregson, C. L.&lt;/author&gt;&lt;author&gt;Patel, H. P.&lt;/author&gt;&lt;author&gt;Jameson, K. A.&lt;/author&gt;&lt;author&gt;Harvey, N. C.&lt;/author&gt;&lt;author&gt;Sayer, A. Aihie&lt;/author&gt;&lt;author&gt;Dennison, E. M.&lt;/author&gt;&lt;author&gt;Cooper, C.&lt;/author&gt;&lt;/authors&gt;&lt;/contributors&gt;&lt;titles&gt;&lt;title&gt;Muscle size, strength and physical performance and their associations with bone structure in the Hertfordshire Cohort Study&lt;/title&gt;&lt;secondary-title&gt;Journal of Bone and Mineral Research&lt;/secondary-title&gt;&lt;/titles&gt;&lt;periodical&gt;&lt;full-title&gt;Journal of Bone and Mineral Research&lt;/full-title&gt;&lt;abbr-1&gt;J. Bone Miner. Res.&lt;/abbr-1&gt;&lt;abbr-2&gt;J Bone Miner Res&lt;/abbr-2&gt;&lt;/periodical&gt;&lt;pages&gt;2295-2304&lt;/pages&gt;&lt;volume&gt;28&lt;/volume&gt;&lt;number&gt;11&lt;/number&gt;&lt;keywords&gt;&lt;keyword&gt;Osteoporosis&lt;/keyword&gt;&lt;keyword&gt;Epidemiology&lt;/keyword&gt;&lt;keyword&gt;Sarcopenia&lt;/keyword&gt;&lt;keyword&gt;Peripheral Quantitative Computed Tomography (pQCT)&lt;/keyword&gt;&lt;keyword&gt;Muscle&lt;/keyword&gt;&lt;/keywords&gt;&lt;dates&gt;&lt;year&gt;2013&lt;/year&gt;&lt;/dates&gt;&lt;isbn&gt;1523-4681&lt;/isbn&gt;&lt;urls&gt;&lt;related-urls&gt;&lt;url&gt;http://dx.doi.org/10.1002/jbmr.1972&lt;/url&gt;&lt;/related-urls&gt;&lt;/urls&gt;&lt;electronic-resource-num&gt;10.1002/jbmr.1972&lt;/electronic-resource-num&gt;&lt;/record&gt;&lt;/Cite&gt;&lt;/EndNote&gt;</w:instrText>
      </w:r>
      <w:r w:rsidR="008B481D" w:rsidRPr="008F2447">
        <w:rPr>
          <w:rFonts w:asciiTheme="majorBidi" w:hAnsiTheme="majorBidi" w:cstheme="majorBidi"/>
          <w:color w:val="000000"/>
          <w:lang w:val="en-AU"/>
        </w:rPr>
        <w:fldChar w:fldCharType="separate"/>
      </w:r>
      <w:r w:rsidR="00B57F6D">
        <w:rPr>
          <w:rFonts w:asciiTheme="majorBidi" w:hAnsiTheme="majorBidi" w:cstheme="majorBidi"/>
          <w:noProof/>
          <w:color w:val="000000"/>
          <w:lang w:val="en-AU"/>
        </w:rPr>
        <w:t>[6]</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but </w:t>
      </w:r>
      <w:r w:rsidR="00091FD7">
        <w:rPr>
          <w:rFonts w:asciiTheme="majorBidi" w:hAnsiTheme="majorBidi" w:cstheme="majorBidi"/>
          <w:color w:val="000000"/>
          <w:lang w:val="en-AU"/>
        </w:rPr>
        <w:t xml:space="preserve">conversely </w:t>
      </w:r>
      <w:r w:rsidRPr="008F2447">
        <w:rPr>
          <w:rFonts w:asciiTheme="majorBidi" w:hAnsiTheme="majorBidi" w:cstheme="majorBidi"/>
          <w:color w:val="000000"/>
          <w:lang w:val="en-AU"/>
        </w:rPr>
        <w:t xml:space="preserve">found fat mass demonstrates positive associations with trabecular density and number assessed by high-resolution </w:t>
      </w:r>
      <w:proofErr w:type="spellStart"/>
      <w:r w:rsidRPr="008F2447">
        <w:rPr>
          <w:rFonts w:asciiTheme="majorBidi" w:hAnsiTheme="majorBidi" w:cstheme="majorBidi"/>
          <w:color w:val="000000"/>
          <w:lang w:val="en-AU"/>
        </w:rPr>
        <w:t>pQCT</w:t>
      </w:r>
      <w:proofErr w:type="spellEnd"/>
      <w:r w:rsidRPr="008F2447">
        <w:rPr>
          <w:rFonts w:asciiTheme="majorBidi" w:hAnsiTheme="majorBidi" w:cstheme="majorBidi"/>
          <w:color w:val="000000"/>
          <w:lang w:val="en-AU"/>
        </w:rPr>
        <w:t xml:space="preserve"> even after adjustment for lean mass </w:t>
      </w:r>
      <w:r w:rsidR="008B481D" w:rsidRPr="008F2447">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&lt;EndNote&gt;&lt;Cite&gt;&lt;Author&gt;Edwards&lt;/Author&gt;&lt;Year&gt;2015&lt;/Year&gt;&lt;RecNum&gt;2465&lt;/RecNum&gt;&lt;DisplayText&gt;[25]&lt;/DisplayText&gt;&lt;record&gt;&lt;rec-number&gt;2465&lt;/rec-number&gt;&lt;foreign-keys&gt;&lt;key app="EN" db-id="0szssftsn5vfs8eepaz5ew9hxvx5dsfds9z5" timestamp="1437347464"&gt;2465&lt;/key&gt;&lt;/foreign-keys&gt;&lt;ref-type name="Journal Article"&gt;17&lt;/ref-type&gt;&lt;contributors&gt;&lt;authors&gt;&lt;author&gt;Edwards, Mark H.&lt;/author&gt;&lt;author&gt;Ward, Kate A.&lt;/author&gt;&lt;author&gt;Ntani, Georgia&lt;/author&gt;&lt;author&gt;Parsons, Camille&lt;/author&gt;&lt;author&gt;Thompson, Jennifer&lt;/author&gt;&lt;author&gt;Sayer, Avan A.&lt;/author&gt;&lt;author&gt;Dennison, Elaine M.&lt;/author&gt;&lt;author&gt;Cooper, Cyrus&lt;/author&gt;&lt;/authors&gt;&lt;/contributors&gt;&lt;titles&gt;&lt;title&gt;Lean mass and fat mass have differing associations with bone microarchitecture assessed by high resolution peripheral quantitative computed tomography in men and women from the Hertfordshire Cohort Study&lt;/title&gt;&lt;secondary-title&gt;Bone&lt;/secondary-title&gt;&lt;/titles&gt;&lt;periodical&gt;&lt;full-title&gt;Bone&lt;/full-title&gt;&lt;abbr-1&gt;Bone&lt;/abbr-1&gt;&lt;abbr-2&gt;Bone&lt;/abbr-2&gt;&lt;/periodical&gt;&lt;pages&gt;145-151&lt;/pages&gt;&lt;volume&gt;81&lt;/volume&gt;&lt;keywords&gt;&lt;keyword&gt;Muscle&lt;/keyword&gt;&lt;keyword&gt;Bone microarchitecture&lt;/keyword&gt;&lt;keyword&gt;Fat&lt;/keyword&gt;&lt;keyword&gt;HRpQCT&lt;/keyword&gt;&lt;keyword&gt;Mechanostat&lt;/keyword&gt;&lt;keyword&gt;Epidemiology&lt;/keyword&gt;&lt;/keywords&gt;&lt;dates&gt;&lt;year&gt;2015&lt;/year&gt;&lt;pub-dates&gt;&lt;date&gt;12//&lt;/date&gt;&lt;/pub-dates&gt;&lt;/dates&gt;&lt;isbn&gt;8756-3282&lt;/isbn&gt;&lt;urls&gt;&lt;related-urls&gt;&lt;url&gt;http://www.sciencedirect.com/science/article/pii/S8756328215002872&lt;/url&gt;&lt;/related-urls&gt;&lt;/urls&gt;&lt;electronic-resource-num&gt;http://dx.doi.org/10.1016/j.bone.2015.07.013&lt;/electronic-resource-num&gt;&lt;/record&gt;&lt;/Cite&gt;&lt;/EndNote&gt;</w:instrText>
      </w:r>
      <w:r w:rsidR="008B481D" w:rsidRPr="008F2447">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[25]</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On the other hand, a case-control study of obese post-menopausal women demonstrated  that lean mass has a stronger positive effect than fat on bone biomechanical parameters </w:t>
      </w:r>
      <w:r w:rsidR="008B481D" w:rsidRPr="008F2447">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&lt;EndNote&gt;&lt;Cite&gt;&lt;Author&gt;Sornay-Rendu&lt;/Author&gt;&lt;Year&gt;2013&lt;/Year&gt;&lt;RecNum&gt;2092&lt;/RecNum&gt;&lt;DisplayText&gt;[26]&lt;/DisplayText&gt;&lt;record&gt;&lt;rec-number&gt;2092&lt;/rec-number&gt;&lt;foreign-keys&gt;&lt;key app="EN" db-id="0szssftsn5vfs8eepaz5ew9hxvx5dsfds9z5" timestamp="1416260169"&gt;2092&lt;/key&gt;&lt;/foreign-keys&gt;&lt;ref-type name="Journal Article"&gt;17&lt;/ref-type&gt;&lt;contributors&gt;&lt;authors&gt;&lt;author&gt;Sornay-Rendu, Elisabeth&lt;/author&gt;&lt;author&gt;Boutroy, Stephanie&lt;/author&gt;&lt;author&gt;Vilayphiou, Nicolas&lt;/author&gt;&lt;author&gt;Claustrat, Bruno&lt;/author&gt;&lt;author&gt;Chapurlat, Roland D&lt;/author&gt;&lt;/authors&gt;&lt;/contributors&gt;&lt;titles&gt;&lt;title&gt;In obese postmenopausal women, bone microarchitecture and strength are not commensurate to greater body weight: the Os des Femmes de Lyon (OFELY) study&lt;/title&gt;&lt;secondary-title&gt;Journal of Bone and Mineral Research&lt;/secondary-title&gt;&lt;/titles&gt;&lt;periodical&gt;&lt;full-title&gt;Journal of Bone and Mineral Research&lt;/full-title&gt;&lt;abbr-1&gt;J. Bone Miner. Res.&lt;/abbr-1&gt;&lt;abbr-2&gt;J Bone Miner Res&lt;/abbr-2&gt;&lt;/periodical&gt;&lt;pages&gt;1679-1687&lt;/pages&gt;&lt;volume&gt;28&lt;/volume&gt;&lt;number&gt;7&lt;/number&gt;&lt;dates&gt;&lt;year&gt;2013&lt;/year&gt;&lt;/dates&gt;&lt;isbn&gt;1523-4681&lt;/isbn&gt;&lt;urls&gt;&lt;/urls&gt;&lt;/record&gt;&lt;/Cite&gt;&lt;/EndNote&gt;</w:instrText>
      </w:r>
      <w:r w:rsidR="008B481D" w:rsidRPr="008F2447">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[26]</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w:t>
      </w:r>
      <w:r w:rsidR="006B12ED">
        <w:rPr>
          <w:rFonts w:asciiTheme="majorBidi" w:hAnsiTheme="majorBidi" w:cstheme="majorBidi"/>
          <w:color w:val="000000"/>
          <w:lang w:val="en-AU"/>
        </w:rPr>
        <w:t>The effects of body composition on BMD may be sex-specific as our cross-sectional analyses</w:t>
      </w:r>
      <w:r w:rsidR="004130D6">
        <w:rPr>
          <w:rFonts w:asciiTheme="majorBidi" w:hAnsiTheme="majorBidi" w:cstheme="majorBidi"/>
          <w:color w:val="000000"/>
          <w:lang w:val="en-AU"/>
        </w:rPr>
        <w:t xml:space="preserve"> demonstrated that</w:t>
      </w:r>
      <w:r w:rsidR="006B12ED">
        <w:rPr>
          <w:rFonts w:asciiTheme="majorBidi" w:hAnsiTheme="majorBidi" w:cstheme="majorBidi"/>
          <w:color w:val="000000"/>
          <w:lang w:val="en-AU"/>
        </w:rPr>
        <w:t xml:space="preserve"> </w:t>
      </w:r>
      <w:proofErr w:type="spellStart"/>
      <w:r w:rsidR="006B12ED">
        <w:rPr>
          <w:rFonts w:asciiTheme="majorBidi" w:hAnsiTheme="majorBidi" w:cstheme="majorBidi"/>
          <w:color w:val="000000"/>
          <w:lang w:val="en-AU"/>
        </w:rPr>
        <w:t>sarcopenic</w:t>
      </w:r>
      <w:proofErr w:type="spellEnd"/>
      <w:r w:rsidR="006B12ED">
        <w:rPr>
          <w:rFonts w:asciiTheme="majorBidi" w:hAnsiTheme="majorBidi" w:cstheme="majorBidi"/>
          <w:color w:val="000000"/>
          <w:lang w:val="en-AU"/>
        </w:rPr>
        <w:t xml:space="preserve"> obese and </w:t>
      </w:r>
      <w:proofErr w:type="spellStart"/>
      <w:r w:rsidR="006B12ED">
        <w:rPr>
          <w:rFonts w:asciiTheme="majorBidi" w:hAnsiTheme="majorBidi" w:cstheme="majorBidi"/>
          <w:color w:val="000000"/>
          <w:lang w:val="en-AU"/>
        </w:rPr>
        <w:t>dynapenic</w:t>
      </w:r>
      <w:proofErr w:type="spellEnd"/>
      <w:r w:rsidR="006B12ED">
        <w:rPr>
          <w:rFonts w:asciiTheme="majorBidi" w:hAnsiTheme="majorBidi" w:cstheme="majorBidi"/>
          <w:color w:val="000000"/>
          <w:lang w:val="en-AU"/>
        </w:rPr>
        <w:t xml:space="preserve"> obese women generally had significantly higher BMD than non-</w:t>
      </w:r>
      <w:proofErr w:type="spellStart"/>
      <w:r w:rsidR="006B12ED">
        <w:rPr>
          <w:rFonts w:asciiTheme="majorBidi" w:hAnsiTheme="majorBidi" w:cstheme="majorBidi"/>
          <w:color w:val="000000"/>
          <w:lang w:val="en-AU"/>
        </w:rPr>
        <w:t>sarcopenic</w:t>
      </w:r>
      <w:proofErr w:type="spellEnd"/>
      <w:r w:rsidR="006B12ED">
        <w:rPr>
          <w:rFonts w:asciiTheme="majorBidi" w:hAnsiTheme="majorBidi" w:cstheme="majorBidi"/>
          <w:color w:val="000000"/>
          <w:lang w:val="en-AU"/>
        </w:rPr>
        <w:t xml:space="preserve"> or non-</w:t>
      </w:r>
      <w:proofErr w:type="spellStart"/>
      <w:r w:rsidR="006B12ED">
        <w:rPr>
          <w:rFonts w:asciiTheme="majorBidi" w:hAnsiTheme="majorBidi" w:cstheme="majorBidi"/>
          <w:color w:val="000000"/>
          <w:lang w:val="en-AU"/>
        </w:rPr>
        <w:t>dynapenic</w:t>
      </w:r>
      <w:proofErr w:type="spellEnd"/>
      <w:r w:rsidR="006B12ED">
        <w:rPr>
          <w:rFonts w:asciiTheme="majorBidi" w:hAnsiTheme="majorBidi" w:cstheme="majorBidi"/>
          <w:color w:val="000000"/>
          <w:lang w:val="en-AU"/>
        </w:rPr>
        <w:t xml:space="preserve"> obese counterparts, whereas </w:t>
      </w:r>
      <w:proofErr w:type="spellStart"/>
      <w:r w:rsidR="006B12ED">
        <w:rPr>
          <w:rFonts w:asciiTheme="majorBidi" w:hAnsiTheme="majorBidi" w:cstheme="majorBidi"/>
          <w:color w:val="000000"/>
          <w:lang w:val="en-AU"/>
        </w:rPr>
        <w:t>sarcopenic</w:t>
      </w:r>
      <w:proofErr w:type="spellEnd"/>
      <w:r w:rsidR="006B12ED">
        <w:rPr>
          <w:rFonts w:asciiTheme="majorBidi" w:hAnsiTheme="majorBidi" w:cstheme="majorBidi"/>
          <w:color w:val="000000"/>
          <w:lang w:val="en-AU"/>
        </w:rPr>
        <w:t xml:space="preserve"> obese and </w:t>
      </w:r>
      <w:proofErr w:type="spellStart"/>
      <w:r w:rsidR="006B12ED">
        <w:rPr>
          <w:rFonts w:asciiTheme="majorBidi" w:hAnsiTheme="majorBidi" w:cstheme="majorBidi"/>
          <w:color w:val="000000"/>
          <w:lang w:val="en-AU"/>
        </w:rPr>
        <w:t>dynapenic</w:t>
      </w:r>
      <w:proofErr w:type="spellEnd"/>
      <w:r w:rsidR="006B12ED">
        <w:rPr>
          <w:rFonts w:asciiTheme="majorBidi" w:hAnsiTheme="majorBidi" w:cstheme="majorBidi"/>
          <w:color w:val="000000"/>
          <w:lang w:val="en-AU"/>
        </w:rPr>
        <w:t xml:space="preserve"> obese men had similar BMD to non-</w:t>
      </w:r>
      <w:proofErr w:type="spellStart"/>
      <w:r w:rsidR="006B12ED">
        <w:rPr>
          <w:rFonts w:asciiTheme="majorBidi" w:hAnsiTheme="majorBidi" w:cstheme="majorBidi"/>
          <w:color w:val="000000"/>
          <w:lang w:val="en-AU"/>
        </w:rPr>
        <w:t>sarcopenic</w:t>
      </w:r>
      <w:proofErr w:type="spellEnd"/>
      <w:r w:rsidR="006B12ED">
        <w:rPr>
          <w:rFonts w:asciiTheme="majorBidi" w:hAnsiTheme="majorBidi" w:cstheme="majorBidi"/>
          <w:color w:val="000000"/>
          <w:lang w:val="en-AU"/>
        </w:rPr>
        <w:t xml:space="preserve"> or non-</w:t>
      </w:r>
      <w:proofErr w:type="spellStart"/>
      <w:r w:rsidR="006B12ED">
        <w:rPr>
          <w:rFonts w:asciiTheme="majorBidi" w:hAnsiTheme="majorBidi" w:cstheme="majorBidi"/>
          <w:color w:val="000000"/>
          <w:lang w:val="en-AU"/>
        </w:rPr>
        <w:t>dynapenic</w:t>
      </w:r>
      <w:proofErr w:type="spellEnd"/>
      <w:r w:rsidR="006B12ED">
        <w:rPr>
          <w:rFonts w:asciiTheme="majorBidi" w:hAnsiTheme="majorBidi" w:cstheme="majorBidi"/>
          <w:color w:val="000000"/>
          <w:lang w:val="en-AU"/>
        </w:rPr>
        <w:t xml:space="preserve"> obese counterparts. </w:t>
      </w:r>
      <w:r w:rsidR="004130D6">
        <w:rPr>
          <w:rFonts w:asciiTheme="majorBidi" w:hAnsiTheme="majorBidi" w:cstheme="majorBidi"/>
          <w:color w:val="000000"/>
          <w:lang w:val="en-AU"/>
        </w:rPr>
        <w:t xml:space="preserve">This </w:t>
      </w:r>
      <w:r w:rsidR="00091FD7">
        <w:rPr>
          <w:rFonts w:asciiTheme="majorBidi" w:hAnsiTheme="majorBidi" w:cstheme="majorBidi"/>
          <w:color w:val="000000"/>
          <w:lang w:val="en-AU"/>
        </w:rPr>
        <w:t>suggests</w:t>
      </w:r>
      <w:r w:rsidR="004130D6">
        <w:rPr>
          <w:rFonts w:asciiTheme="majorBidi" w:hAnsiTheme="majorBidi" w:cstheme="majorBidi"/>
          <w:color w:val="000000"/>
          <w:lang w:val="en-AU"/>
        </w:rPr>
        <w:t xml:space="preserve"> that lower muscle mass and strength</w:t>
      </w:r>
      <w:r w:rsidR="00530174">
        <w:rPr>
          <w:rFonts w:asciiTheme="majorBidi" w:hAnsiTheme="majorBidi" w:cstheme="majorBidi"/>
          <w:color w:val="000000"/>
          <w:lang w:val="en-AU"/>
        </w:rPr>
        <w:t>, at least in the presence of obesity, has less adverse effects for bone health of older women than men.</w:t>
      </w:r>
      <w:r w:rsidR="00E1428F">
        <w:rPr>
          <w:rFonts w:asciiTheme="majorBidi" w:hAnsiTheme="majorBidi" w:cstheme="majorBidi"/>
          <w:color w:val="000000"/>
          <w:lang w:val="en-AU"/>
        </w:rPr>
        <w:t xml:space="preserve"> </w:t>
      </w:r>
      <w:r w:rsidR="00C92AA3">
        <w:rPr>
          <w:rFonts w:asciiTheme="majorBidi" w:hAnsiTheme="majorBidi" w:cstheme="majorBidi"/>
          <w:color w:val="000000"/>
          <w:lang w:val="en-AU"/>
        </w:rPr>
        <w:t xml:space="preserve">This may be related to the key role of fat mass in oestrogen levels in women, given that oestrogens regulate bone mass and strength through actions on osteoblasts and osteoclasts </w:t>
      </w:r>
      <w:r w:rsidR="00C92AA3">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&lt;EndNote&gt;&lt;Cite&gt;&lt;Author&gt;Horstman&lt;/Author&gt;&lt;Year&gt;2012&lt;/Year&gt;&lt;RecNum&gt;922&lt;/RecNum&gt;&lt;DisplayText&gt;[27]&lt;/DisplayText&gt;&lt;record&gt;&lt;rec-number&gt;922&lt;/rec-number&gt;&lt;foreign-keys&gt;&lt;key app="EN" db-id="0szssftsn5vfs8eepaz5ew9hxvx5dsfds9z5" timestamp="1351552507"&gt;922&lt;/key&gt;&lt;/foreign-keys&gt;&lt;ref-type name="Journal Article"&gt;17&lt;/ref-type&gt;&lt;contributors&gt;&lt;authors&gt;&lt;author&gt;Horstman, A.M.&lt;/author&gt;&lt;author&gt;Dillon, E.L.&lt;/author&gt;&lt;author&gt;Urban, R.J.&lt;/author&gt;&lt;author&gt;Sheffield-Moore, M.&lt;/author&gt;&lt;/authors&gt;&lt;/contributors&gt;&lt;titles&gt;&lt;title&gt;The role of androgens and estrogens on healthy aging and longevity&lt;/title&gt;&lt;secondary-title&gt;The Journals of Gerontology Series A: Biological Sciences and Medical Sciences&lt;/secondary-title&gt;&lt;/titles&gt;&lt;periodical&gt;&lt;full-title&gt;The Journals of Gerontology Series A: Biological Sciences and Medical Sciences&lt;/full-title&gt;&lt;/periodical&gt;&lt;dates&gt;&lt;year&gt;2012&lt;/year&gt;&lt;/dates&gt;&lt;isbn&gt;1079-5006&lt;/isbn&gt;&lt;urls&gt;&lt;/urls&gt;&lt;/record&gt;&lt;/Cite&gt;&lt;/EndNote&gt;</w:instrText>
      </w:r>
      <w:r w:rsidR="00C92AA3">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[27]</w:t>
      </w:r>
      <w:r w:rsidR="00C92AA3">
        <w:rPr>
          <w:rFonts w:asciiTheme="majorBidi" w:hAnsiTheme="majorBidi" w:cstheme="majorBidi"/>
          <w:color w:val="000000"/>
          <w:lang w:val="en-AU"/>
        </w:rPr>
        <w:fldChar w:fldCharType="end"/>
      </w:r>
      <w:r w:rsidR="00C92AA3">
        <w:rPr>
          <w:rFonts w:asciiTheme="majorBidi" w:hAnsiTheme="majorBidi" w:cstheme="majorBidi"/>
          <w:color w:val="000000"/>
          <w:lang w:val="en-AU"/>
        </w:rPr>
        <w:t>.</w:t>
      </w:r>
    </w:p>
    <w:p w14:paraId="6BB6F0FC" w14:textId="4EE8DD40" w:rsidR="00575EFD" w:rsidRPr="008F2447" w:rsidRDefault="00944A64" w:rsidP="00A96834">
      <w:pPr>
        <w:spacing w:line="480" w:lineRule="auto"/>
        <w:rPr>
          <w:rFonts w:asciiTheme="majorBidi" w:hAnsiTheme="majorBidi" w:cstheme="majorBidi"/>
        </w:rPr>
      </w:pPr>
      <w:r w:rsidRPr="008F2447">
        <w:rPr>
          <w:rFonts w:asciiTheme="majorBidi" w:hAnsiTheme="majorBidi" w:cstheme="majorBidi"/>
          <w:color w:val="000000"/>
          <w:lang w:val="en-AU"/>
        </w:rPr>
        <w:tab/>
        <w:t>We also found that the</w:t>
      </w:r>
      <w:r w:rsidR="003267F1">
        <w:rPr>
          <w:rFonts w:asciiTheme="majorBidi" w:hAnsiTheme="majorBidi" w:cstheme="majorBidi"/>
          <w:color w:val="000000"/>
          <w:lang w:val="en-AU"/>
        </w:rPr>
        <w:t xml:space="preserve"> five-year</w:t>
      </w:r>
      <w:r w:rsidRPr="008F2447">
        <w:rPr>
          <w:rFonts w:asciiTheme="majorBidi" w:hAnsiTheme="majorBidi" w:cstheme="majorBidi"/>
          <w:color w:val="000000"/>
          <w:lang w:val="en-AU"/>
        </w:rPr>
        <w:t xml:space="preserve"> incidence of total hip osteoporosis is significantly higher in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alone,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alone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older adults compared with obese alone. Nevertheless, after adjustment for </w:t>
      </w:r>
      <w:r w:rsidR="000304CD">
        <w:rPr>
          <w:rFonts w:asciiTheme="majorBidi" w:hAnsiTheme="majorBidi" w:cstheme="majorBidi"/>
          <w:color w:val="000000"/>
          <w:lang w:val="en-AU"/>
        </w:rPr>
        <w:t xml:space="preserve">multiple </w:t>
      </w:r>
      <w:r w:rsidRPr="008F2447">
        <w:rPr>
          <w:rFonts w:asciiTheme="majorBidi" w:hAnsiTheme="majorBidi" w:cstheme="majorBidi"/>
          <w:color w:val="000000"/>
          <w:lang w:val="en-AU"/>
        </w:rPr>
        <w:t xml:space="preserve">confounders </w:t>
      </w:r>
      <w:r w:rsidR="000304CD">
        <w:rPr>
          <w:rFonts w:asciiTheme="majorBidi" w:hAnsiTheme="majorBidi" w:cstheme="majorBidi"/>
          <w:color w:val="000000"/>
          <w:lang w:val="en-AU"/>
        </w:rPr>
        <w:t>inconsistent associations with</w:t>
      </w:r>
      <w:r w:rsidRPr="008F2447">
        <w:rPr>
          <w:rFonts w:asciiTheme="majorBidi" w:hAnsiTheme="majorBidi" w:cstheme="majorBidi"/>
          <w:color w:val="000000"/>
          <w:lang w:val="en-AU"/>
        </w:rPr>
        <w:t xml:space="preserve"> loss of BMD over five years</w:t>
      </w:r>
      <w:r w:rsidR="003267F1">
        <w:rPr>
          <w:rFonts w:asciiTheme="majorBidi" w:hAnsiTheme="majorBidi" w:cstheme="majorBidi"/>
          <w:color w:val="000000"/>
          <w:lang w:val="en-AU"/>
        </w:rPr>
        <w:t xml:space="preserve"> were observed</w:t>
      </w:r>
      <w:r w:rsidR="000304CD">
        <w:rPr>
          <w:rFonts w:asciiTheme="majorBidi" w:hAnsiTheme="majorBidi" w:cstheme="majorBidi"/>
          <w:color w:val="000000"/>
          <w:lang w:val="en-AU"/>
        </w:rPr>
        <w:t xml:space="preserve">; only </w:t>
      </w:r>
      <w:proofErr w:type="spellStart"/>
      <w:r w:rsidR="000304CD">
        <w:rPr>
          <w:rFonts w:asciiTheme="majorBidi" w:hAnsiTheme="majorBidi" w:cstheme="majorBidi"/>
          <w:color w:val="000000"/>
          <w:lang w:val="en-AU"/>
        </w:rPr>
        <w:t>dynapenia</w:t>
      </w:r>
      <w:proofErr w:type="spellEnd"/>
      <w:r w:rsidR="000304CD">
        <w:rPr>
          <w:rFonts w:asciiTheme="majorBidi" w:hAnsiTheme="majorBidi" w:cstheme="majorBidi"/>
          <w:color w:val="000000"/>
          <w:lang w:val="en-AU"/>
        </w:rPr>
        <w:t xml:space="preserve"> alone and </w:t>
      </w:r>
      <w:proofErr w:type="spellStart"/>
      <w:r w:rsidR="000304CD">
        <w:rPr>
          <w:rFonts w:asciiTheme="majorBidi" w:hAnsiTheme="majorBidi" w:cstheme="majorBidi"/>
          <w:color w:val="000000"/>
          <w:lang w:val="en-AU"/>
        </w:rPr>
        <w:lastRenderedPageBreak/>
        <w:t>dynapenic</w:t>
      </w:r>
      <w:proofErr w:type="spellEnd"/>
      <w:r w:rsidR="000304CD">
        <w:rPr>
          <w:rFonts w:asciiTheme="majorBidi" w:hAnsiTheme="majorBidi" w:cstheme="majorBidi"/>
          <w:color w:val="000000"/>
          <w:lang w:val="en-AU"/>
        </w:rPr>
        <w:t xml:space="preserve"> obesity in men was associated with greater declines in BMD (relative to obese alone) </w:t>
      </w:r>
      <w:r w:rsidR="000304CD" w:rsidRPr="008F2447">
        <w:rPr>
          <w:rFonts w:asciiTheme="majorBidi" w:hAnsiTheme="majorBidi" w:cstheme="majorBidi"/>
          <w:color w:val="000000"/>
          <w:lang w:val="en-AU"/>
        </w:rPr>
        <w:t>in this study</w:t>
      </w:r>
      <w:r w:rsidRPr="008F2447">
        <w:rPr>
          <w:rFonts w:asciiTheme="majorBidi" w:hAnsiTheme="majorBidi" w:cstheme="majorBidi"/>
          <w:color w:val="000000"/>
          <w:lang w:val="en-AU"/>
        </w:rPr>
        <w:t xml:space="preserve">. It is unclear why </w:t>
      </w:r>
      <w:proofErr w:type="spellStart"/>
      <w:r w:rsidRPr="008F2447">
        <w:rPr>
          <w:rFonts w:asciiTheme="majorBidi" w:hAnsiTheme="majorBidi" w:cstheme="majorBidi"/>
          <w:color w:val="000000"/>
          <w:lang w:val="en-AU"/>
        </w:rPr>
        <w:t>sarcopenia</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dynapenia</w:t>
      </w:r>
      <w:proofErr w:type="spellEnd"/>
      <w:r w:rsidRPr="008F2447">
        <w:rPr>
          <w:rFonts w:asciiTheme="majorBidi" w:hAnsiTheme="majorBidi" w:cstheme="majorBidi"/>
          <w:color w:val="000000"/>
          <w:lang w:val="en-AU"/>
        </w:rPr>
        <w:t xml:space="preserve">, with or without obesity, are associated with lower BMD in cross-sectional analyses, but generally do not contribute to greater declines in BMD during ageing. It is possible that because most participants maintained similar body composition status over five </w:t>
      </w:r>
      <w:proofErr w:type="gramStart"/>
      <w:r w:rsidRPr="008F2447">
        <w:rPr>
          <w:rFonts w:asciiTheme="majorBidi" w:hAnsiTheme="majorBidi" w:cstheme="majorBidi"/>
          <w:color w:val="000000"/>
          <w:lang w:val="en-AU"/>
        </w:rPr>
        <w:t>years  (</w:t>
      </w:r>
      <w:proofErr w:type="gramEnd"/>
      <w:r w:rsidRPr="008F2447">
        <w:rPr>
          <w:rFonts w:asciiTheme="majorBidi" w:hAnsiTheme="majorBidi" w:cstheme="majorBidi"/>
          <w:color w:val="000000"/>
          <w:lang w:val="en-AU"/>
        </w:rPr>
        <w:t xml:space="preserve">74% remained in the same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obesity category at follow-up as at baseline) their BMD trajectories also generally remained similar. It is likely that only older adults who experience substantial changes in muscle mass or fat mass would demonstrate bone mass changes</w:t>
      </w:r>
      <w:r w:rsidR="000304CD">
        <w:rPr>
          <w:rFonts w:asciiTheme="majorBidi" w:hAnsiTheme="majorBidi" w:cstheme="majorBidi"/>
          <w:color w:val="000000"/>
          <w:lang w:val="en-AU"/>
        </w:rPr>
        <w:t xml:space="preserve"> over this time</w:t>
      </w:r>
      <w:r w:rsidRPr="008F2447">
        <w:rPr>
          <w:rFonts w:asciiTheme="majorBidi" w:hAnsiTheme="majorBidi" w:cstheme="majorBidi"/>
          <w:color w:val="000000"/>
          <w:lang w:val="en-AU"/>
        </w:rPr>
        <w:t xml:space="preserve">. </w:t>
      </w:r>
      <w:r w:rsidR="000304CD">
        <w:rPr>
          <w:rFonts w:asciiTheme="majorBidi" w:hAnsiTheme="majorBidi" w:cstheme="majorBidi"/>
          <w:color w:val="000000"/>
          <w:lang w:val="en-AU"/>
        </w:rPr>
        <w:t>Nevertheless, our finding</w:t>
      </w:r>
      <w:r w:rsidR="003267F1">
        <w:rPr>
          <w:rFonts w:asciiTheme="majorBidi" w:hAnsiTheme="majorBidi" w:cstheme="majorBidi"/>
          <w:color w:val="000000"/>
          <w:lang w:val="en-AU"/>
        </w:rPr>
        <w:t xml:space="preserve"> that</w:t>
      </w:r>
      <w:r w:rsidRPr="008F2447">
        <w:rPr>
          <w:rFonts w:asciiTheme="majorBidi" w:hAnsiTheme="majorBidi" w:cstheme="majorBidi"/>
          <w:color w:val="000000"/>
          <w:lang w:val="en-AU"/>
        </w:rPr>
        <w:t xml:space="preserve">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males had significantly greater loss of total hip BMD over five years compared with obese alone is potentially clinically significant given previous studies have reported that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is associated with poorer mobility </w:t>
      </w:r>
      <w:r w:rsidR="008B481D" w:rsidRPr="008F2447">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&lt;EndNote&gt;&lt;Cite&gt;&lt;Author&gt;Bouchard&lt;/Author&gt;&lt;Year&gt;2010&lt;/Year&gt;&lt;RecNum&gt;914&lt;/RecNum&gt;&lt;DisplayText&gt;[20, 28]&lt;/DisplayText&gt;&lt;record&gt;&lt;rec-number&gt;914&lt;/rec-number&gt;&lt;foreign-keys&gt;&lt;key app="EN" db-id="0szssftsn5vfs8eepaz5ew9hxvx5dsfds9z5" timestamp="1349917741"&gt;914&lt;/key&gt;&lt;/foreign-keys&gt;&lt;ref-type name="Journal Article"&gt;17&lt;/ref-type&gt;&lt;contributors&gt;&lt;authors&gt;&lt;author&gt;Bouchard, D.R.&lt;/author&gt;&lt;author&gt;Janssen, I.&lt;/author&gt;&lt;/authors&gt;&lt;/contributors&gt;&lt;titles&gt;&lt;title&gt;Dynapenic-obesity and physical function in older adults&lt;/title&gt;&lt;secondary-title&gt;Journals of Gerontology. Series A, Biological Sciences and Medical Sciences&lt;/secondary-title&gt;&lt;/titles&gt;&lt;periodical&gt;&lt;full-title&gt;Journals of Gerontology. Series A, Biological Sciences and Medical Sciences&lt;/full-title&gt;&lt;abbr-1&gt;J. Gerontol. A. Biol. Sci. Med. Sci.&lt;/abbr-1&gt;&lt;abbr-2&gt;J Gerontol A Biol Sci Med Sci&lt;/abbr-2&gt;&lt;/periodical&gt;&lt;pages&gt;71-77&lt;/pages&gt;&lt;volume&gt;65&lt;/volume&gt;&lt;number&gt;1&lt;/number&gt;&lt;dates&gt;&lt;year&gt;2010&lt;/year&gt;&lt;/dates&gt;&lt;isbn&gt;1079-5006&lt;/isbn&gt;&lt;urls&gt;&lt;/urls&gt;&lt;/record&gt;&lt;/Cite&gt;&lt;Cite&gt;&lt;Author&gt;Yang&lt;/Author&gt;&lt;Year&gt;2015&lt;/Year&gt;&lt;RecNum&gt;1996&lt;/RecNum&gt;&lt;record&gt;&lt;rec-number&gt;1996&lt;/rec-number&gt;&lt;foreign-keys&gt;&lt;key app="EN" db-id="0szssftsn5vfs8eepaz5ew9hxvx5dsfds9z5" timestamp="1412032431"&gt;1996&lt;/key&gt;&lt;/foreign-keys&gt;&lt;ref-type name="Journal Article"&gt;17&lt;/ref-type&gt;&lt;contributors&gt;&lt;authors&gt;&lt;author&gt;Yang, Ming&lt;/author&gt;&lt;author&gt;Jiang, Jiaojiao&lt;/author&gt;&lt;author&gt;Hao, Qiukui&lt;/author&gt;&lt;author&gt;Luo, Li&lt;/author&gt;&lt;author&gt;Dong, Birong&lt;/author&gt;&lt;/authors&gt;&lt;/contributors&gt;&lt;titles&gt;&lt;title&gt;Dynapenic obesity and lower extremity function in elderly adults&lt;/title&gt;&lt;secondary-title&gt;Journal of the American Medical Directors Association&lt;/secondary-title&gt;&lt;/titles&gt;&lt;periodical&gt;&lt;full-title&gt;Journal of the American Medical Directors Association&lt;/full-title&gt;&lt;abbr-1&gt;J. Am. Med. Dir. Assoc.&lt;/abbr-1&gt;&lt;abbr-2&gt;J Am Med Dir Assoc&lt;/abbr-2&gt;&lt;/periodical&gt;&lt;pages&gt;31-6&lt;/pages&gt;&lt;volume&gt;16&lt;/volume&gt;&lt;number&gt;1&lt;/number&gt;&lt;dates&gt;&lt;year&gt;2015&lt;/year&gt;&lt;/dates&gt;&lt;isbn&gt;1525-8610&lt;/isbn&gt;&lt;urls&gt;&lt;/urls&gt;&lt;/record&gt;&lt;/Cite&gt;&lt;/EndNote&gt;</w:instrText>
      </w:r>
      <w:r w:rsidR="008B481D" w:rsidRPr="008F2447">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[20, 28]</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w:t>
      </w:r>
      <w:r w:rsidR="008F2447">
        <w:rPr>
          <w:rFonts w:asciiTheme="majorBidi" w:hAnsiTheme="majorBidi" w:cstheme="majorBidi"/>
          <w:color w:val="000000"/>
          <w:lang w:val="en-AU"/>
        </w:rPr>
        <w:t>a potential precursor to falls</w:t>
      </w:r>
      <w:r w:rsidRPr="008F2447">
        <w:rPr>
          <w:rFonts w:asciiTheme="majorBidi" w:hAnsiTheme="majorBidi" w:cstheme="majorBidi"/>
          <w:color w:val="000000"/>
          <w:lang w:val="en-AU"/>
        </w:rPr>
        <w:t xml:space="preserve">. Indeed, we have reported using data from this study that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but not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obesity, is associated with significantly increased falls risk (determined by </w:t>
      </w:r>
      <w:r w:rsidR="000304CD">
        <w:rPr>
          <w:rFonts w:asciiTheme="majorBidi" w:hAnsiTheme="majorBidi" w:cstheme="majorBidi"/>
          <w:color w:val="000000"/>
          <w:lang w:val="en-AU"/>
        </w:rPr>
        <w:t>the PPA</w:t>
      </w:r>
      <w:r w:rsidRPr="008F2447">
        <w:rPr>
          <w:rFonts w:asciiTheme="majorBidi" w:hAnsiTheme="majorBidi" w:cstheme="majorBidi"/>
          <w:color w:val="000000"/>
          <w:lang w:val="en-AU"/>
        </w:rPr>
        <w:t xml:space="preserve">) over five years </w:t>
      </w:r>
      <w:r w:rsidRPr="008F2447">
        <w:rPr>
          <w:rFonts w:asciiTheme="majorBidi" w:hAnsiTheme="majorBidi" w:cstheme="majorBidi"/>
          <w:noProof/>
        </w:rPr>
        <w:t>(13)</w:t>
      </w:r>
      <w:r w:rsidRPr="008F2447">
        <w:rPr>
          <w:rFonts w:asciiTheme="majorBidi" w:hAnsiTheme="majorBidi" w:cstheme="majorBidi"/>
          <w:color w:val="000000"/>
          <w:lang w:val="en-AU"/>
        </w:rPr>
        <w:t xml:space="preserve">. Thus,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older men may experience concurrent increases in falls and decreased BMD during ageing, which in conjunction may substantially increase their risk for fracture.</w:t>
      </w:r>
    </w:p>
    <w:p w14:paraId="12B977F9" w14:textId="3DC2783D" w:rsidR="00F51B3A" w:rsidRDefault="00944A64" w:rsidP="00A96834">
      <w:pPr>
        <w:spacing w:line="480" w:lineRule="auto"/>
        <w:rPr>
          <w:rFonts w:asciiTheme="majorBidi" w:hAnsiTheme="majorBidi" w:cstheme="majorBidi"/>
          <w:color w:val="000000"/>
        </w:rPr>
      </w:pPr>
      <w:r w:rsidRPr="008F2447">
        <w:rPr>
          <w:rFonts w:asciiTheme="majorBidi" w:hAnsiTheme="majorBidi" w:cstheme="majorBidi"/>
          <w:color w:val="000000"/>
          <w:lang w:val="en-AU"/>
        </w:rPr>
        <w:tab/>
        <w:t xml:space="preserve">Despite this, significantly increased rates of self-reported </w:t>
      </w:r>
      <w:r w:rsidR="00F51B3A">
        <w:rPr>
          <w:rFonts w:asciiTheme="majorBidi" w:hAnsiTheme="majorBidi" w:cstheme="majorBidi"/>
          <w:color w:val="000000"/>
          <w:lang w:val="en-AU"/>
        </w:rPr>
        <w:t xml:space="preserve">non-vertebral </w:t>
      </w:r>
      <w:r w:rsidRPr="008F2447">
        <w:rPr>
          <w:rFonts w:asciiTheme="majorBidi" w:hAnsiTheme="majorBidi" w:cstheme="majorBidi"/>
          <w:color w:val="000000"/>
          <w:lang w:val="en-AU"/>
        </w:rPr>
        <w:t xml:space="preserve">fracture over 10 years were observed only for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obese, and not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w:t>
      </w:r>
      <w:r w:rsidR="000304CD">
        <w:rPr>
          <w:rFonts w:asciiTheme="majorBidi" w:hAnsiTheme="majorBidi" w:cstheme="majorBidi"/>
          <w:color w:val="000000"/>
          <w:lang w:val="en-AU"/>
        </w:rPr>
        <w:t>,</w:t>
      </w:r>
      <w:r w:rsidRPr="008F2447">
        <w:rPr>
          <w:rFonts w:asciiTheme="majorBidi" w:hAnsiTheme="majorBidi" w:cstheme="majorBidi"/>
          <w:color w:val="000000"/>
          <w:lang w:val="en-AU"/>
        </w:rPr>
        <w:t xml:space="preserve"> older adults. </w:t>
      </w:r>
      <w:r w:rsidR="00F51B3A">
        <w:rPr>
          <w:rFonts w:asciiTheme="majorBidi" w:hAnsiTheme="majorBidi" w:cstheme="majorBidi"/>
          <w:color w:val="000000"/>
          <w:lang w:val="en-AU"/>
        </w:rPr>
        <w:t>Non-vertebral f</w:t>
      </w:r>
      <w:r w:rsidRPr="008F2447">
        <w:rPr>
          <w:rFonts w:asciiTheme="majorBidi" w:hAnsiTheme="majorBidi" w:cstheme="majorBidi"/>
          <w:color w:val="000000"/>
          <w:lang w:val="en-AU"/>
        </w:rPr>
        <w:t xml:space="preserve">racture rates for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obese </w:t>
      </w:r>
      <w:r w:rsidR="000304CD">
        <w:rPr>
          <w:rFonts w:asciiTheme="majorBidi" w:hAnsiTheme="majorBidi" w:cstheme="majorBidi"/>
          <w:color w:val="000000"/>
          <w:lang w:val="en-AU"/>
        </w:rPr>
        <w:t xml:space="preserve">men </w:t>
      </w:r>
      <w:r w:rsidRPr="008F2447">
        <w:rPr>
          <w:rFonts w:asciiTheme="majorBidi" w:hAnsiTheme="majorBidi" w:cstheme="majorBidi"/>
          <w:color w:val="000000"/>
          <w:lang w:val="en-AU"/>
        </w:rPr>
        <w:t xml:space="preserve">were </w:t>
      </w:r>
      <w:r w:rsidR="00F51B3A">
        <w:rPr>
          <w:rFonts w:asciiTheme="majorBidi" w:hAnsiTheme="majorBidi" w:cstheme="majorBidi"/>
          <w:color w:val="000000"/>
          <w:lang w:val="en-AU"/>
        </w:rPr>
        <w:t xml:space="preserve">over three-fold </w:t>
      </w:r>
      <w:r w:rsidRPr="008F2447">
        <w:rPr>
          <w:rFonts w:asciiTheme="majorBidi" w:hAnsiTheme="majorBidi" w:cstheme="majorBidi"/>
          <w:color w:val="000000"/>
          <w:lang w:val="en-AU"/>
        </w:rPr>
        <w:t>higher compared to both obese alone and non-</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non-obese, while </w:t>
      </w:r>
      <w:proofErr w:type="spellStart"/>
      <w:r w:rsidR="00F51B3A">
        <w:rPr>
          <w:rFonts w:asciiTheme="majorBidi" w:hAnsiTheme="majorBidi" w:cstheme="majorBidi"/>
          <w:color w:val="000000"/>
          <w:lang w:val="en-AU"/>
        </w:rPr>
        <w:t>sar</w:t>
      </w:r>
      <w:r w:rsidR="000304CD">
        <w:rPr>
          <w:rFonts w:asciiTheme="majorBidi" w:hAnsiTheme="majorBidi" w:cstheme="majorBidi"/>
          <w:color w:val="000000"/>
          <w:lang w:val="en-AU"/>
        </w:rPr>
        <w:t>c</w:t>
      </w:r>
      <w:r w:rsidR="00F51B3A">
        <w:rPr>
          <w:rFonts w:asciiTheme="majorBidi" w:hAnsiTheme="majorBidi" w:cstheme="majorBidi"/>
          <w:color w:val="000000"/>
          <w:lang w:val="en-AU"/>
        </w:rPr>
        <w:t>o</w:t>
      </w:r>
      <w:r w:rsidR="000304CD">
        <w:rPr>
          <w:rFonts w:asciiTheme="majorBidi" w:hAnsiTheme="majorBidi" w:cstheme="majorBidi"/>
          <w:color w:val="000000"/>
          <w:lang w:val="en-AU"/>
        </w:rPr>
        <w:t>penic</w:t>
      </w:r>
      <w:proofErr w:type="spellEnd"/>
      <w:r w:rsidR="00F51B3A">
        <w:rPr>
          <w:rFonts w:asciiTheme="majorBidi" w:hAnsiTheme="majorBidi" w:cstheme="majorBidi"/>
          <w:color w:val="000000"/>
          <w:lang w:val="en-AU"/>
        </w:rPr>
        <w:t xml:space="preserve"> obese women (and those with combined </w:t>
      </w:r>
      <w:proofErr w:type="spellStart"/>
      <w:r w:rsidR="00F51B3A">
        <w:rPr>
          <w:rFonts w:asciiTheme="majorBidi" w:hAnsiTheme="majorBidi" w:cstheme="majorBidi"/>
          <w:color w:val="000000"/>
          <w:lang w:val="en-AU"/>
        </w:rPr>
        <w:t>sarcopenic</w:t>
      </w:r>
      <w:proofErr w:type="spellEnd"/>
      <w:r w:rsidR="00F51B3A">
        <w:rPr>
          <w:rFonts w:asciiTheme="majorBidi" w:hAnsiTheme="majorBidi" w:cstheme="majorBidi"/>
          <w:color w:val="000000"/>
          <w:lang w:val="en-AU"/>
        </w:rPr>
        <w:t xml:space="preserve"> and </w:t>
      </w:r>
      <w:proofErr w:type="spellStart"/>
      <w:r w:rsidR="00F51B3A">
        <w:rPr>
          <w:rFonts w:asciiTheme="majorBidi" w:hAnsiTheme="majorBidi" w:cstheme="majorBidi"/>
          <w:color w:val="000000"/>
          <w:lang w:val="en-AU"/>
        </w:rPr>
        <w:t>dynapenic</w:t>
      </w:r>
      <w:proofErr w:type="spellEnd"/>
      <w:r w:rsidR="00F51B3A">
        <w:rPr>
          <w:rFonts w:asciiTheme="majorBidi" w:hAnsiTheme="majorBidi" w:cstheme="majorBidi"/>
          <w:color w:val="000000"/>
          <w:lang w:val="en-AU"/>
        </w:rPr>
        <w:t xml:space="preserve"> obesity) had two- to three-fold increased rates compared to obese alone. S</w:t>
      </w:r>
      <w:r w:rsidR="00F51B3A" w:rsidRPr="008F2447">
        <w:rPr>
          <w:rFonts w:asciiTheme="majorBidi" w:hAnsiTheme="majorBidi" w:cstheme="majorBidi"/>
          <w:color w:val="000000"/>
          <w:lang w:val="en-AU"/>
        </w:rPr>
        <w:t xml:space="preserve">omewhat </w:t>
      </w:r>
      <w:r w:rsidRPr="008F2447">
        <w:rPr>
          <w:rFonts w:asciiTheme="majorBidi" w:hAnsiTheme="majorBidi" w:cstheme="majorBidi"/>
          <w:color w:val="000000"/>
          <w:lang w:val="en-AU"/>
        </w:rPr>
        <w:t>surprisingly</w:t>
      </w:r>
      <w:r w:rsidR="00530174">
        <w:rPr>
          <w:rFonts w:asciiTheme="majorBidi" w:hAnsiTheme="majorBidi" w:cstheme="majorBidi"/>
          <w:color w:val="000000"/>
          <w:lang w:val="en-AU"/>
        </w:rPr>
        <w:t>,</w:t>
      </w:r>
      <w:r w:rsidRPr="008F2447">
        <w:rPr>
          <w:rFonts w:asciiTheme="majorBidi" w:hAnsiTheme="majorBidi" w:cstheme="majorBidi"/>
          <w:color w:val="000000"/>
          <w:lang w:val="en-AU"/>
        </w:rPr>
        <w:t xml:space="preserve"> there was no increased risk </w:t>
      </w:r>
      <w:r w:rsidR="00F51B3A">
        <w:rPr>
          <w:rFonts w:asciiTheme="majorBidi" w:hAnsiTheme="majorBidi" w:cstheme="majorBidi"/>
          <w:color w:val="000000"/>
          <w:lang w:val="en-AU"/>
        </w:rPr>
        <w:t xml:space="preserve">of incident non-vertebral fracture </w:t>
      </w:r>
      <w:r w:rsidRPr="008F2447">
        <w:rPr>
          <w:rFonts w:asciiTheme="majorBidi" w:hAnsiTheme="majorBidi" w:cstheme="majorBidi"/>
          <w:color w:val="000000"/>
          <w:lang w:val="en-AU"/>
        </w:rPr>
        <w:t xml:space="preserve">for participants with </w:t>
      </w:r>
      <w:proofErr w:type="spellStart"/>
      <w:r w:rsidRPr="008F2447">
        <w:rPr>
          <w:rFonts w:asciiTheme="majorBidi" w:hAnsiTheme="majorBidi" w:cstheme="majorBidi"/>
          <w:color w:val="000000"/>
          <w:lang w:val="en-AU"/>
        </w:rPr>
        <w:t>sarcopenia</w:t>
      </w:r>
      <w:proofErr w:type="spellEnd"/>
      <w:r w:rsidRPr="008F2447">
        <w:rPr>
          <w:rFonts w:asciiTheme="majorBidi" w:hAnsiTheme="majorBidi" w:cstheme="majorBidi"/>
          <w:color w:val="000000"/>
          <w:lang w:val="en-AU"/>
        </w:rPr>
        <w:t xml:space="preserve"> alone. However, a similar finding has recently been reported in an analysis of over 6,000 participants aged 65 years and older from The Osteoporotic Fractures in Men Study and the Study of Osteoporotic Fractures in Women; </w:t>
      </w:r>
      <w:r w:rsidRPr="008F2447">
        <w:rPr>
          <w:rFonts w:asciiTheme="majorBidi" w:hAnsiTheme="majorBidi" w:cstheme="majorBidi"/>
          <w:color w:val="000000"/>
          <w:lang w:val="en-AU"/>
        </w:rPr>
        <w:lastRenderedPageBreak/>
        <w:t xml:space="preserve">men and women with low BMD combined with </w:t>
      </w:r>
      <w:proofErr w:type="spellStart"/>
      <w:r w:rsidRPr="008F2447">
        <w:rPr>
          <w:rFonts w:asciiTheme="majorBidi" w:hAnsiTheme="majorBidi" w:cstheme="majorBidi"/>
          <w:color w:val="000000"/>
          <w:lang w:val="en-AU"/>
        </w:rPr>
        <w:t>sarcopenia</w:t>
      </w:r>
      <w:proofErr w:type="spellEnd"/>
      <w:r w:rsidRPr="008F2447">
        <w:rPr>
          <w:rFonts w:asciiTheme="majorBidi" w:hAnsiTheme="majorBidi" w:cstheme="majorBidi"/>
          <w:color w:val="000000"/>
          <w:lang w:val="en-AU"/>
        </w:rPr>
        <w:t xml:space="preserve">, but not with </w:t>
      </w:r>
      <w:proofErr w:type="spellStart"/>
      <w:r w:rsidRPr="008F2447">
        <w:rPr>
          <w:rFonts w:asciiTheme="majorBidi" w:hAnsiTheme="majorBidi" w:cstheme="majorBidi"/>
          <w:color w:val="000000"/>
          <w:lang w:val="en-AU"/>
        </w:rPr>
        <w:t>sarcopenia</w:t>
      </w:r>
      <w:proofErr w:type="spellEnd"/>
      <w:r w:rsidRPr="008F2447">
        <w:rPr>
          <w:rFonts w:asciiTheme="majorBidi" w:hAnsiTheme="majorBidi" w:cstheme="majorBidi"/>
          <w:color w:val="000000"/>
          <w:lang w:val="en-AU"/>
        </w:rPr>
        <w:t xml:space="preserve"> alone, had two- to three-fold increased risk of non-vertebral fractures over eight to nine years </w:t>
      </w:r>
      <w:r w:rsidR="008B481D" w:rsidRPr="008F2447">
        <w:rPr>
          <w:rFonts w:asciiTheme="majorBidi" w:hAnsiTheme="majorBidi" w:cstheme="majorBidi"/>
          <w:color w:val="000000"/>
        </w:rPr>
        <w:fldChar w:fldCharType="begin"/>
      </w:r>
      <w:r w:rsidR="00A96834">
        <w:rPr>
          <w:rFonts w:asciiTheme="majorBidi" w:hAnsiTheme="majorBidi" w:cstheme="majorBidi"/>
          <w:color w:val="000000"/>
        </w:rPr>
        <w:instrText xml:space="preserve"> ADDIN EN.CITE &lt;EndNote&gt;&lt;Cite&gt;&lt;Author&gt;Chalhoub&lt;/Author&gt;&lt;Year&gt;2015&lt;/Year&gt;&lt;RecNum&gt;2520&lt;/RecNum&gt;&lt;DisplayText&gt;[29]&lt;/DisplayText&gt;&lt;record&gt;&lt;rec-number&gt;2520&lt;/rec-number&gt;&lt;foreign-keys&gt;&lt;key app="EN" db-id="0szssftsn5vfs8eepaz5ew9hxvx5dsfds9z5" timestamp="1441062395"&gt;2520&lt;/key&gt;&lt;/foreign-keys&gt;&lt;ref-type name="Journal Article"&gt;17&lt;/ref-type&gt;&lt;contributors&gt;&lt;authors&gt;&lt;author&gt;Chalhoub, Didier&lt;/author&gt;&lt;author&gt;Cawthon, Peggy M.&lt;/author&gt;&lt;author&gt;Ensrud, Kristine E.&lt;/author&gt;&lt;author&gt;Stefanick, Marcia L.&lt;/author&gt;&lt;author&gt;Kado, Deborah M.&lt;/author&gt;&lt;author&gt;Boudreau, Robert&lt;/author&gt;&lt;author&gt;Greenspan, Susan&lt;/author&gt;&lt;author&gt;Newman, Anne B.&lt;/author&gt;&lt;author&gt;Zmuda, Joseph&lt;/author&gt;&lt;author&gt;Orwoll, Eric S.&lt;/author&gt;&lt;author&gt;Cauley, Jane A.&lt;/author&gt;&lt;author&gt;the Osteoporotic Fractures in Men Study Research, Group&lt;/author&gt;&lt;/authors&gt;&lt;/contributors&gt;&lt;titles&gt;&lt;title&gt;Risk of Nonspine Fractures in Older Adults with Sarcopenia, Low Bone Mass, or Both&lt;/title&gt;&lt;secondary-title&gt;Journal of the American Geriatrics Society&lt;/secondary-title&gt;&lt;/titles&gt;&lt;periodical&gt;&lt;full-title&gt;Journal of the American Geriatrics Society&lt;/full-title&gt;&lt;abbr-1&gt;J. Am. Geriatr. Soc.&lt;/abbr-1&gt;&lt;abbr-2&gt;J Am Geriatr Soc&lt;/abbr-2&gt;&lt;/periodical&gt;&lt;pages&gt;1733-1740&lt;/pages&gt;&lt;volume&gt;63&lt;/volume&gt;&lt;number&gt;9&lt;/number&gt;&lt;keywords&gt;&lt;keyword&gt;epidemiology&lt;/keyword&gt;&lt;keyword&gt;osteoporosis&lt;/keyword&gt;&lt;keyword&gt;sarcopenia&lt;/keyword&gt;&lt;keyword&gt;bone–muscle interactions&lt;/keyword&gt;&lt;keyword&gt;fracture risk assessment&lt;/keyword&gt;&lt;/keywords&gt;&lt;dates&gt;&lt;year&gt;2015&lt;/year&gt;&lt;/dates&gt;&lt;isbn&gt;1532-5415&lt;/isbn&gt;&lt;urls&gt;&lt;related-urls&gt;&lt;url&gt;http://dx.doi.org/10.1111/jgs.13605&lt;/url&gt;&lt;/related-urls&gt;&lt;/urls&gt;&lt;electronic-resource-num&gt;10.1111/jgs.13605&lt;/electronic-resource-num&gt;&lt;/record&gt;&lt;/Cite&gt;&lt;/EndNote&gt;</w:instrText>
      </w:r>
      <w:r w:rsidR="008B481D" w:rsidRPr="008F2447">
        <w:rPr>
          <w:rFonts w:asciiTheme="majorBidi" w:hAnsiTheme="majorBidi" w:cstheme="majorBidi"/>
          <w:color w:val="000000"/>
        </w:rPr>
        <w:fldChar w:fldCharType="separate"/>
      </w:r>
      <w:r w:rsidR="00A96834">
        <w:rPr>
          <w:rFonts w:asciiTheme="majorBidi" w:hAnsiTheme="majorBidi" w:cstheme="majorBidi"/>
          <w:noProof/>
          <w:color w:val="000000"/>
        </w:rPr>
        <w:t>[29]</w:t>
      </w:r>
      <w:r w:rsidR="008B481D" w:rsidRPr="008F2447">
        <w:rPr>
          <w:rFonts w:asciiTheme="majorBidi" w:hAnsiTheme="majorBidi" w:cstheme="majorBidi"/>
          <w:color w:val="000000"/>
        </w:rPr>
        <w:fldChar w:fldCharType="end"/>
      </w:r>
      <w:r w:rsidRPr="008F2447">
        <w:rPr>
          <w:rFonts w:asciiTheme="majorBidi" w:hAnsiTheme="majorBidi" w:cstheme="majorBidi"/>
          <w:color w:val="000000"/>
        </w:rPr>
        <w:t xml:space="preserve">. It is possible therefore that </w:t>
      </w:r>
      <w:proofErr w:type="spellStart"/>
      <w:r w:rsidRPr="008F2447">
        <w:rPr>
          <w:rFonts w:asciiTheme="majorBidi" w:hAnsiTheme="majorBidi" w:cstheme="majorBidi"/>
          <w:color w:val="000000"/>
        </w:rPr>
        <w:t>sarcopenia</w:t>
      </w:r>
      <w:proofErr w:type="spellEnd"/>
      <w:r w:rsidRPr="008F2447">
        <w:rPr>
          <w:rFonts w:asciiTheme="majorBidi" w:hAnsiTheme="majorBidi" w:cstheme="majorBidi"/>
          <w:color w:val="000000"/>
        </w:rPr>
        <w:t xml:space="preserve"> is associated with increased fracture risk only in the presence of low BMD, or as demonstrated in the present study, obesity. </w:t>
      </w:r>
    </w:p>
    <w:p w14:paraId="6447DDDE" w14:textId="41B1B70A" w:rsidR="00575EFD" w:rsidRPr="008F2447" w:rsidRDefault="00F51B3A" w:rsidP="003267F1">
      <w:pPr>
        <w:spacing w:line="480" w:lineRule="auto"/>
        <w:ind w:firstLine="720"/>
        <w:rPr>
          <w:rFonts w:asciiTheme="majorBidi" w:hAnsiTheme="majorBidi" w:cstheme="majorBidi"/>
          <w:color w:val="000000"/>
          <w:lang w:val="en-AU"/>
        </w:rPr>
      </w:pPr>
      <w:r>
        <w:rPr>
          <w:rFonts w:asciiTheme="majorBidi" w:hAnsiTheme="majorBidi" w:cstheme="majorBidi"/>
          <w:color w:val="000000"/>
          <w:lang w:val="en-AU"/>
        </w:rPr>
        <w:t xml:space="preserve">However, it should be noted that the increased fracture risk for women with </w:t>
      </w:r>
      <w:proofErr w:type="spellStart"/>
      <w:r>
        <w:rPr>
          <w:rFonts w:asciiTheme="majorBidi" w:hAnsiTheme="majorBidi" w:cstheme="majorBidi"/>
          <w:color w:val="000000"/>
          <w:lang w:val="en-AU"/>
        </w:rPr>
        <w:t>sarcopenic</w:t>
      </w:r>
      <w:proofErr w:type="spellEnd"/>
      <w:r>
        <w:rPr>
          <w:rFonts w:asciiTheme="majorBidi" w:hAnsiTheme="majorBidi" w:cstheme="majorBidi"/>
          <w:color w:val="000000"/>
          <w:lang w:val="en-AU"/>
        </w:rPr>
        <w:t xml:space="preserve"> obesity, and the decreased fracture risk of women with obesity alone, became non-significant after adjustment for total hip BMD. This finding suggests that</w:t>
      </w:r>
      <w:r w:rsidR="006B12ED">
        <w:rPr>
          <w:rFonts w:asciiTheme="majorBidi" w:hAnsiTheme="majorBidi" w:cstheme="majorBidi"/>
          <w:color w:val="000000"/>
          <w:lang w:val="en-AU"/>
        </w:rPr>
        <w:t xml:space="preserve"> reduced fracture risk in obesity alone, and increased fracture risk in </w:t>
      </w:r>
      <w:proofErr w:type="spellStart"/>
      <w:r w:rsidR="006B12ED">
        <w:rPr>
          <w:rFonts w:asciiTheme="majorBidi" w:hAnsiTheme="majorBidi" w:cstheme="majorBidi"/>
          <w:color w:val="000000"/>
          <w:lang w:val="en-AU"/>
        </w:rPr>
        <w:t>sarcopenic</w:t>
      </w:r>
      <w:proofErr w:type="spellEnd"/>
      <w:r w:rsidR="006B12ED">
        <w:rPr>
          <w:rFonts w:asciiTheme="majorBidi" w:hAnsiTheme="majorBidi" w:cstheme="majorBidi"/>
          <w:color w:val="000000"/>
          <w:lang w:val="en-AU"/>
        </w:rPr>
        <w:t xml:space="preserve"> obesity, are attributable to </w:t>
      </w:r>
      <w:r w:rsidR="00530174">
        <w:rPr>
          <w:rFonts w:asciiTheme="majorBidi" w:hAnsiTheme="majorBidi" w:cstheme="majorBidi"/>
          <w:color w:val="000000"/>
          <w:lang w:val="en-AU"/>
        </w:rPr>
        <w:t>differenc</w:t>
      </w:r>
      <w:r w:rsidR="006B12ED">
        <w:rPr>
          <w:rFonts w:asciiTheme="majorBidi" w:hAnsiTheme="majorBidi" w:cstheme="majorBidi"/>
          <w:color w:val="000000"/>
          <w:lang w:val="en-AU"/>
        </w:rPr>
        <w:t>es in BMD in women, but not men</w:t>
      </w:r>
      <w:r w:rsidR="00530174">
        <w:rPr>
          <w:rFonts w:asciiTheme="majorBidi" w:hAnsiTheme="majorBidi" w:cstheme="majorBidi"/>
          <w:color w:val="000000"/>
          <w:lang w:val="en-AU"/>
        </w:rPr>
        <w:t xml:space="preserve">. Adjustment for falls risk score, also did not explain the increased fracture risk of </w:t>
      </w:r>
      <w:proofErr w:type="spellStart"/>
      <w:r w:rsidR="00530174">
        <w:rPr>
          <w:rFonts w:asciiTheme="majorBidi" w:hAnsiTheme="majorBidi" w:cstheme="majorBidi"/>
          <w:color w:val="000000"/>
          <w:lang w:val="en-AU"/>
        </w:rPr>
        <w:t>sarcopenic</w:t>
      </w:r>
      <w:proofErr w:type="spellEnd"/>
      <w:r w:rsidR="00530174">
        <w:rPr>
          <w:rFonts w:asciiTheme="majorBidi" w:hAnsiTheme="majorBidi" w:cstheme="majorBidi"/>
          <w:color w:val="000000"/>
          <w:lang w:val="en-AU"/>
        </w:rPr>
        <w:t xml:space="preserve"> obese men, and</w:t>
      </w:r>
      <w:r>
        <w:rPr>
          <w:rFonts w:asciiTheme="majorBidi" w:hAnsiTheme="majorBidi" w:cstheme="majorBidi"/>
          <w:color w:val="000000"/>
          <w:lang w:val="en-AU"/>
        </w:rPr>
        <w:t xml:space="preserve"> </w:t>
      </w:r>
      <w:r w:rsidR="003267F1">
        <w:rPr>
          <w:rFonts w:asciiTheme="majorBidi" w:hAnsiTheme="majorBidi" w:cstheme="majorBidi"/>
          <w:color w:val="000000"/>
          <w:lang w:val="en-AU"/>
        </w:rPr>
        <w:t>this is not surprising given</w:t>
      </w:r>
      <w:r>
        <w:rPr>
          <w:rFonts w:asciiTheme="majorBidi" w:hAnsiTheme="majorBidi" w:cstheme="majorBidi"/>
          <w:color w:val="000000"/>
          <w:lang w:val="en-AU"/>
        </w:rPr>
        <w:t xml:space="preserve"> </w:t>
      </w:r>
      <w:r w:rsidR="00530174" w:rsidRPr="008F2447">
        <w:rPr>
          <w:rFonts w:asciiTheme="majorBidi" w:hAnsiTheme="majorBidi" w:cstheme="majorBidi"/>
          <w:color w:val="000000"/>
        </w:rPr>
        <w:t xml:space="preserve">we have demonstrated </w:t>
      </w:r>
      <w:r w:rsidR="00530174">
        <w:rPr>
          <w:rFonts w:asciiTheme="majorBidi" w:hAnsiTheme="majorBidi" w:cstheme="majorBidi"/>
          <w:color w:val="000000"/>
        </w:rPr>
        <w:t>increased</w:t>
      </w:r>
      <w:r w:rsidR="00530174" w:rsidRPr="008F2447">
        <w:rPr>
          <w:rFonts w:asciiTheme="majorBidi" w:hAnsiTheme="majorBidi" w:cstheme="majorBidi"/>
          <w:color w:val="000000"/>
        </w:rPr>
        <w:t xml:space="preserve"> falls risk</w:t>
      </w:r>
      <w:r w:rsidR="003267F1">
        <w:rPr>
          <w:rFonts w:asciiTheme="majorBidi" w:hAnsiTheme="majorBidi" w:cstheme="majorBidi"/>
          <w:color w:val="000000"/>
        </w:rPr>
        <w:t xml:space="preserve"> scores only</w:t>
      </w:r>
      <w:r w:rsidR="00530174" w:rsidRPr="008F2447">
        <w:rPr>
          <w:rFonts w:asciiTheme="majorBidi" w:hAnsiTheme="majorBidi" w:cstheme="majorBidi"/>
          <w:color w:val="000000"/>
        </w:rPr>
        <w:t xml:space="preserve"> in </w:t>
      </w:r>
      <w:proofErr w:type="spellStart"/>
      <w:r w:rsidR="00530174" w:rsidRPr="008F2447">
        <w:rPr>
          <w:rFonts w:asciiTheme="majorBidi" w:hAnsiTheme="majorBidi" w:cstheme="majorBidi"/>
          <w:color w:val="000000"/>
        </w:rPr>
        <w:t>dynapeni</w:t>
      </w:r>
      <w:r w:rsidR="00530174">
        <w:rPr>
          <w:rFonts w:asciiTheme="majorBidi" w:hAnsiTheme="majorBidi" w:cstheme="majorBidi"/>
          <w:color w:val="000000"/>
        </w:rPr>
        <w:t>c</w:t>
      </w:r>
      <w:proofErr w:type="spellEnd"/>
      <w:r w:rsidR="00530174">
        <w:rPr>
          <w:rFonts w:asciiTheme="majorBidi" w:hAnsiTheme="majorBidi" w:cstheme="majorBidi"/>
          <w:color w:val="000000"/>
        </w:rPr>
        <w:t xml:space="preserve"> obesity </w:t>
      </w:r>
      <w:r w:rsidR="00530174" w:rsidRPr="008F2447">
        <w:rPr>
          <w:rFonts w:asciiTheme="majorBidi" w:hAnsiTheme="majorBidi" w:cstheme="majorBidi"/>
          <w:noProof/>
        </w:rPr>
        <w:t xml:space="preserve">(13). </w:t>
      </w:r>
      <w:r w:rsidR="00530174">
        <w:rPr>
          <w:rFonts w:asciiTheme="majorBidi" w:hAnsiTheme="majorBidi" w:cstheme="majorBidi"/>
          <w:noProof/>
        </w:rPr>
        <w:t xml:space="preserve">Thus, the mechanism by which sarcopenic obesity increases </w:t>
      </w:r>
      <w:r w:rsidR="003267F1">
        <w:rPr>
          <w:rFonts w:asciiTheme="majorBidi" w:hAnsiTheme="majorBidi" w:cstheme="majorBidi"/>
          <w:noProof/>
        </w:rPr>
        <w:t>fracture</w:t>
      </w:r>
      <w:r w:rsidR="00530174">
        <w:rPr>
          <w:rFonts w:asciiTheme="majorBidi" w:hAnsiTheme="majorBidi" w:cstheme="majorBidi"/>
          <w:noProof/>
        </w:rPr>
        <w:t xml:space="preserve"> risk in men is unclear; it may be that there is residual confounding attributable to the measurement of a falls risk score, rather than incident falls, in this study.</w:t>
      </w:r>
      <w:r w:rsidR="00C92AA3">
        <w:rPr>
          <w:rFonts w:asciiTheme="majorBidi" w:hAnsiTheme="majorBidi" w:cstheme="majorBidi"/>
          <w:noProof/>
        </w:rPr>
        <w:t xml:space="preserve"> We have previously reported that low lean mass is more consistently associated with declines in physical performance in men than women </w:t>
      </w:r>
      <w:r w:rsidR="00C92AA3">
        <w:rPr>
          <w:rFonts w:asciiTheme="majorBidi" w:hAnsiTheme="majorBidi" w:cstheme="majorBidi"/>
          <w:noProof/>
        </w:rPr>
        <w:fldChar w:fldCharType="begin"/>
      </w:r>
      <w:r w:rsidR="00A96834">
        <w:rPr>
          <w:rFonts w:asciiTheme="majorBidi" w:hAnsiTheme="majorBidi" w:cstheme="majorBidi"/>
          <w:noProof/>
        </w:rPr>
        <w:instrText xml:space="preserve"> ADDIN EN.CITE &lt;EndNote&gt;&lt;Cite&gt;&lt;Author&gt;Scott&lt;/Author&gt;&lt;Year&gt;2014&lt;/Year&gt;&lt;RecNum&gt;1554&lt;/RecNum&gt;&lt;DisplayText&gt;[30]&lt;/DisplayText&gt;&lt;record&gt;&lt;rec-number&gt;1554&lt;/rec-number&gt;&lt;foreign-keys&gt;&lt;key app="EN" db-id="0szssftsn5vfs8eepaz5ew9hxvx5dsfds9z5" timestamp="1388700550"&gt;1554&lt;/key&gt;&lt;/foreign-keys&gt;&lt;ref-type name="Journal Article"&gt;17&lt;/ref-type&gt;&lt;contributors&gt;&lt;authors&gt;&lt;author&gt;Scott, D.&lt;/author&gt;&lt;author&gt;Hayes, A.&lt;/author&gt;&lt;author&gt;Sanders, K. M.&lt;/author&gt;&lt;author&gt;Aitken, D.&lt;/author&gt;&lt;author&gt;Ebeling, P. R.&lt;/author&gt;&lt;author&gt;Jones, G.&lt;/author&gt;&lt;/authors&gt;&lt;/contributors&gt;&lt;titles&gt;&lt;title&gt;Operational definitions of sarcopenia and their associations with 5-year changes in falls risk in community-dwelling middle-aged and older adults&lt;/title&gt;&lt;secondary-title&gt;Osteoporosis International&lt;/secondary-title&gt;&lt;alt-title&gt;Osteoporos Int&lt;/alt-title&gt;&lt;/titles&gt;&lt;periodical&gt;&lt;full-title&gt;Osteoporosis International&lt;/full-title&gt;&lt;abbr-1&gt;Osteoporos. Int.&lt;/abbr-1&gt;&lt;abbr-2&gt;Osteoporos Int&lt;/abbr-2&gt;&lt;/periodical&gt;&lt;alt-periodical&gt;&lt;full-title&gt;Osteoporosis International&lt;/full-title&gt;&lt;abbr-1&gt;Osteoporos. Int.&lt;/abbr-1&gt;&lt;abbr-2&gt;Osteoporos Int&lt;/abbr-2&gt;&lt;/alt-periodical&gt;&lt;pages&gt;187-193&lt;/pages&gt;&lt;volume&gt;25&lt;/volume&gt;&lt;number&gt;1&lt;/number&gt;&lt;keywords&gt;&lt;keyword&gt;Falls&lt;/keyword&gt;&lt;keyword&gt;Muscle mass&lt;/keyword&gt;&lt;keyword&gt;Muscle strength&lt;/keyword&gt;&lt;keyword&gt;Sarcopenia&lt;/keyword&gt;&lt;/keywords&gt;&lt;dates&gt;&lt;year&gt;2014&lt;/year&gt;&lt;/dates&gt;&lt;publisher&gt;Springer London&lt;/publisher&gt;&lt;isbn&gt;0937-941X&lt;/isbn&gt;&lt;urls&gt;&lt;related-urls&gt;&lt;url&gt;http://dx.doi.org/10.1007/s00198-013-2431-5&lt;/url&gt;&lt;/related-urls&gt;&lt;/urls&gt;&lt;electronic-resource-num&gt;10.1007/s00198-013-2431-5&lt;/electronic-resource-num&gt;&lt;language&gt;English&lt;/language&gt;&lt;/record&gt;&lt;/Cite&gt;&lt;/EndNote&gt;</w:instrText>
      </w:r>
      <w:r w:rsidR="00C92AA3">
        <w:rPr>
          <w:rFonts w:asciiTheme="majorBidi" w:hAnsiTheme="majorBidi" w:cstheme="majorBidi"/>
          <w:noProof/>
        </w:rPr>
        <w:fldChar w:fldCharType="separate"/>
      </w:r>
      <w:r w:rsidR="00A96834">
        <w:rPr>
          <w:rFonts w:asciiTheme="majorBidi" w:hAnsiTheme="majorBidi" w:cstheme="majorBidi"/>
          <w:noProof/>
        </w:rPr>
        <w:t>[30]</w:t>
      </w:r>
      <w:r w:rsidR="00C92AA3">
        <w:rPr>
          <w:rFonts w:asciiTheme="majorBidi" w:hAnsiTheme="majorBidi" w:cstheme="majorBidi"/>
          <w:noProof/>
        </w:rPr>
        <w:fldChar w:fldCharType="end"/>
      </w:r>
      <w:r w:rsidR="00C92AA3">
        <w:rPr>
          <w:rFonts w:asciiTheme="majorBidi" w:hAnsiTheme="majorBidi" w:cstheme="majorBidi"/>
          <w:noProof/>
        </w:rPr>
        <w:t xml:space="preserve">, and so it is possible that </w:t>
      </w:r>
      <w:r w:rsidR="003267F1">
        <w:rPr>
          <w:rFonts w:asciiTheme="majorBidi" w:hAnsiTheme="majorBidi" w:cstheme="majorBidi"/>
          <w:noProof/>
        </w:rPr>
        <w:t xml:space="preserve">incident </w:t>
      </w:r>
      <w:r w:rsidR="00C92AA3">
        <w:rPr>
          <w:rFonts w:asciiTheme="majorBidi" w:hAnsiTheme="majorBidi" w:cstheme="majorBidi"/>
          <w:noProof/>
        </w:rPr>
        <w:t>falls were increased in obese men</w:t>
      </w:r>
      <w:r w:rsidR="003267F1">
        <w:rPr>
          <w:rFonts w:asciiTheme="majorBidi" w:hAnsiTheme="majorBidi" w:cstheme="majorBidi"/>
          <w:noProof/>
        </w:rPr>
        <w:t>,</w:t>
      </w:r>
      <w:r w:rsidR="00C92AA3">
        <w:rPr>
          <w:rFonts w:asciiTheme="majorBidi" w:hAnsiTheme="majorBidi" w:cstheme="majorBidi"/>
          <w:noProof/>
        </w:rPr>
        <w:t xml:space="preserve"> but not women</w:t>
      </w:r>
      <w:r w:rsidR="003267F1">
        <w:rPr>
          <w:rFonts w:asciiTheme="majorBidi" w:hAnsiTheme="majorBidi" w:cstheme="majorBidi"/>
          <w:noProof/>
        </w:rPr>
        <w:t>, with sarcopenia</w:t>
      </w:r>
      <w:r w:rsidR="00C92AA3">
        <w:rPr>
          <w:rFonts w:asciiTheme="majorBidi" w:hAnsiTheme="majorBidi" w:cstheme="majorBidi"/>
          <w:noProof/>
        </w:rPr>
        <w:t>.</w:t>
      </w:r>
      <w:r w:rsidR="00530174">
        <w:rPr>
          <w:rFonts w:asciiTheme="majorBidi" w:hAnsiTheme="majorBidi" w:cstheme="majorBidi"/>
          <w:noProof/>
        </w:rPr>
        <w:t xml:space="preserve"> It is also possible that increased fracture risk in sarcopenic obese men is more closely related to deleterious changes in bone microarchitecture and geometry not measured in this study, as opposed to BMD. </w:t>
      </w:r>
    </w:p>
    <w:p w14:paraId="34178443" w14:textId="30A3DBE1" w:rsidR="00575EFD" w:rsidRPr="008F2447" w:rsidRDefault="00944A64" w:rsidP="00A96834">
      <w:pPr>
        <w:spacing w:line="480" w:lineRule="auto"/>
        <w:rPr>
          <w:rFonts w:asciiTheme="majorBidi" w:hAnsiTheme="majorBidi" w:cstheme="majorBidi"/>
        </w:rPr>
      </w:pPr>
      <w:r w:rsidRPr="008F2447">
        <w:rPr>
          <w:rFonts w:asciiTheme="majorBidi" w:hAnsiTheme="majorBidi" w:cstheme="majorBidi"/>
          <w:color w:val="000000"/>
          <w:lang w:val="en-AU"/>
        </w:rPr>
        <w:tab/>
        <w:t xml:space="preserve">This study has several limitations. There was substantial loss to follow-up </w:t>
      </w:r>
      <w:r w:rsidR="005B7B99" w:rsidRPr="008F2447">
        <w:rPr>
          <w:rFonts w:asciiTheme="majorBidi" w:hAnsiTheme="majorBidi" w:cstheme="majorBidi"/>
          <w:color w:val="000000"/>
          <w:lang w:val="en-AU"/>
        </w:rPr>
        <w:t xml:space="preserve">over 10 years </w:t>
      </w:r>
      <w:r w:rsidRPr="008F2447">
        <w:rPr>
          <w:rFonts w:asciiTheme="majorBidi" w:hAnsiTheme="majorBidi" w:cstheme="majorBidi"/>
          <w:color w:val="000000"/>
          <w:lang w:val="en-AU"/>
        </w:rPr>
        <w:t xml:space="preserve">and at baseline these participants were significantly older, had poorer body composition and lower total hip BMD that participants who completed the study. It is possible that associations of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with BMD and fracture risk differ in this population, and likely that our findings can be generalised only to healthy community-dwelling older adults. Areal BMD assessed by DXA has limitations as a predictor of fracture </w:t>
      </w:r>
      <w:r w:rsidRPr="008F2447">
        <w:rPr>
          <w:rFonts w:asciiTheme="majorBidi" w:hAnsiTheme="majorBidi" w:cstheme="majorBidi"/>
          <w:color w:val="000000"/>
          <w:lang w:val="en-AU"/>
        </w:rPr>
        <w:lastRenderedPageBreak/>
        <w:t xml:space="preserve">and future studies are required to assess effects of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on volumetric BMD and bone microarchitecture </w:t>
      </w:r>
      <w:r w:rsidR="008B481D" w:rsidRPr="008F2447">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&lt;EndNote&gt;&lt;Cite&gt;&lt;Author&gt;Andersen&lt;/Author&gt;&lt;Year&gt;2014&lt;/Year&gt;&lt;RecNum&gt;1772&lt;/RecNum&gt;&lt;DisplayText&gt;[31]&lt;/DisplayText&gt;&lt;record&gt;&lt;rec-number&gt;1772&lt;/rec-number&gt;&lt;foreign-keys&gt;&lt;key app="EN" db-id="0szssftsn5vfs8eepaz5ew9hxvx5dsfds9z5" timestamp="1402530804"&gt;1772&lt;/key&gt;&lt;/foreign-keys&gt;&lt;ref-type name="Journal Article"&gt;17&lt;/ref-type&gt;&lt;contributors&gt;&lt;authors&gt;&lt;author&gt;Andersen, Stine&lt;/author&gt;&lt;author&gt;Frederiksen, Katrine Diemer&lt;/author&gt;&lt;author&gt;Hansen, Stinus&lt;/author&gt;&lt;author&gt;Brixen, Kim&lt;/author&gt;&lt;author&gt;Gram, Jeppe&lt;/author&gt;&lt;author&gt;Støving, René Klinkby&lt;/author&gt;&lt;/authors&gt;&lt;/contributors&gt;&lt;titles&gt;&lt;title&gt;Bone Structure and Estimated Bone Strength in Obese Patients Evaluated by High-Resolution Peripheral Quantitative Computed Tomography&lt;/title&gt;&lt;secondary-title&gt;Calcified Tissue International&lt;/secondary-title&gt;&lt;/titles&gt;&lt;periodical&gt;&lt;full-title&gt;Calcified Tissue International&lt;/full-title&gt;&lt;abbr-1&gt;Calcif. Tissue Int.&lt;/abbr-1&gt;&lt;abbr-2&gt;Calcif Tissue Int&lt;/abbr-2&gt;&lt;/periodical&gt;&lt;pages&gt;19-28&lt;/pages&gt;&lt;volume&gt;95&lt;/volume&gt;&lt;number&gt;1&lt;/number&gt;&lt;dates&gt;&lt;year&gt;2014&lt;/year&gt;&lt;/dates&gt;&lt;isbn&gt;0171-967X&lt;/isbn&gt;&lt;urls&gt;&lt;/urls&gt;&lt;/record&gt;&lt;/Cite&gt;&lt;/EndNote&gt;</w:instrText>
      </w:r>
      <w:r w:rsidR="008B481D" w:rsidRPr="008F2447">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[31]</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The duration of fracture recall was substantial and </w:t>
      </w:r>
      <w:r w:rsidR="00FC1A35">
        <w:rPr>
          <w:rFonts w:asciiTheme="majorBidi" w:hAnsiTheme="majorBidi" w:cstheme="majorBidi"/>
          <w:color w:val="000000"/>
          <w:lang w:val="en-AU"/>
        </w:rPr>
        <w:t>fractures were not radiographically confirmed</w:t>
      </w:r>
      <w:r w:rsidR="00CD588C">
        <w:rPr>
          <w:rFonts w:asciiTheme="majorBidi" w:hAnsiTheme="majorBidi" w:cstheme="majorBidi"/>
          <w:color w:val="000000"/>
          <w:lang w:val="en-AU"/>
        </w:rPr>
        <w:t xml:space="preserve"> nor were causes of fracture ascertained (</w:t>
      </w:r>
      <w:proofErr w:type="spellStart"/>
      <w:r w:rsidR="00CD588C">
        <w:rPr>
          <w:rFonts w:asciiTheme="majorBidi" w:hAnsiTheme="majorBidi" w:cstheme="majorBidi"/>
          <w:color w:val="000000"/>
          <w:lang w:val="en-AU"/>
        </w:rPr>
        <w:t>eg</w:t>
      </w:r>
      <w:proofErr w:type="spellEnd"/>
      <w:r w:rsidR="00CD588C">
        <w:rPr>
          <w:rFonts w:asciiTheme="majorBidi" w:hAnsiTheme="majorBidi" w:cstheme="majorBidi"/>
          <w:color w:val="000000"/>
          <w:lang w:val="en-AU"/>
        </w:rPr>
        <w:t>. minimal trauma fractures)</w:t>
      </w:r>
      <w:r w:rsidR="00FC1A35">
        <w:rPr>
          <w:rFonts w:asciiTheme="majorBidi" w:hAnsiTheme="majorBidi" w:cstheme="majorBidi"/>
          <w:color w:val="000000"/>
          <w:lang w:val="en-AU"/>
        </w:rPr>
        <w:t>. There was also a relatively small number of incident non-vertebral fractures which restricted our ability to adjust for multiple potential confounders, and there were too few vertebral fractures to allow for a meaningful analysis</w:t>
      </w:r>
      <w:r w:rsidR="00444CAD">
        <w:rPr>
          <w:rFonts w:asciiTheme="majorBidi" w:hAnsiTheme="majorBidi" w:cstheme="majorBidi"/>
          <w:color w:val="000000"/>
          <w:lang w:val="en-AU"/>
        </w:rPr>
        <w:t xml:space="preserve"> of this outcome</w:t>
      </w:r>
      <w:r w:rsidR="00FC1A35">
        <w:rPr>
          <w:rFonts w:asciiTheme="majorBidi" w:hAnsiTheme="majorBidi" w:cstheme="majorBidi"/>
          <w:color w:val="000000"/>
          <w:lang w:val="en-AU"/>
        </w:rPr>
        <w:t>.</w:t>
      </w:r>
      <w:r w:rsidRPr="008F2447">
        <w:rPr>
          <w:rFonts w:asciiTheme="majorBidi" w:hAnsiTheme="majorBidi" w:cstheme="majorBidi"/>
          <w:color w:val="000000"/>
          <w:lang w:val="en-AU"/>
        </w:rPr>
        <w:t xml:space="preserve"> Future prospective population-based studies should incorporate regular fracture reporting</w:t>
      </w:r>
      <w:r w:rsidR="00CD588C">
        <w:rPr>
          <w:rFonts w:asciiTheme="majorBidi" w:hAnsiTheme="majorBidi" w:cstheme="majorBidi"/>
          <w:color w:val="000000"/>
          <w:lang w:val="en-AU"/>
        </w:rPr>
        <w:t>,</w:t>
      </w:r>
      <w:r w:rsidRPr="008F2447">
        <w:rPr>
          <w:rFonts w:asciiTheme="majorBidi" w:hAnsiTheme="majorBidi" w:cstheme="majorBidi"/>
          <w:color w:val="000000"/>
          <w:lang w:val="en-AU"/>
        </w:rPr>
        <w:t xml:space="preserve"> radi</w:t>
      </w:r>
      <w:r w:rsidR="00A67BE2">
        <w:rPr>
          <w:rFonts w:asciiTheme="majorBidi" w:hAnsiTheme="majorBidi" w:cstheme="majorBidi"/>
          <w:color w:val="000000"/>
          <w:lang w:val="en-AU"/>
        </w:rPr>
        <w:t>o</w:t>
      </w:r>
      <w:r w:rsidRPr="008F2447">
        <w:rPr>
          <w:rFonts w:asciiTheme="majorBidi" w:hAnsiTheme="majorBidi" w:cstheme="majorBidi"/>
          <w:color w:val="000000"/>
          <w:lang w:val="en-AU"/>
        </w:rPr>
        <w:t>graphic confirmation</w:t>
      </w:r>
      <w:r w:rsidR="00CD588C">
        <w:rPr>
          <w:rFonts w:asciiTheme="majorBidi" w:hAnsiTheme="majorBidi" w:cstheme="majorBidi"/>
          <w:color w:val="000000"/>
          <w:lang w:val="en-AU"/>
        </w:rPr>
        <w:t xml:space="preserve"> and ascertainment of causes</w:t>
      </w:r>
      <w:r w:rsidRPr="008F2447">
        <w:rPr>
          <w:rFonts w:asciiTheme="majorBidi" w:hAnsiTheme="majorBidi" w:cstheme="majorBidi"/>
          <w:color w:val="000000"/>
          <w:lang w:val="en-AU"/>
        </w:rPr>
        <w:t xml:space="preserve"> in order to clarify the associations of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obesity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with </w:t>
      </w:r>
      <w:r w:rsidR="00FC1A35">
        <w:rPr>
          <w:rFonts w:asciiTheme="majorBidi" w:hAnsiTheme="majorBidi" w:cstheme="majorBidi"/>
          <w:color w:val="000000"/>
          <w:lang w:val="en-AU"/>
        </w:rPr>
        <w:t xml:space="preserve">incident </w:t>
      </w:r>
      <w:r w:rsidRPr="008F2447">
        <w:rPr>
          <w:rFonts w:asciiTheme="majorBidi" w:hAnsiTheme="majorBidi" w:cstheme="majorBidi"/>
          <w:color w:val="000000"/>
          <w:lang w:val="en-AU"/>
        </w:rPr>
        <w:t>fracture</w:t>
      </w:r>
      <w:r w:rsidR="00FC1A35">
        <w:rPr>
          <w:rFonts w:asciiTheme="majorBidi" w:hAnsiTheme="majorBidi" w:cstheme="majorBidi"/>
          <w:color w:val="000000"/>
          <w:lang w:val="en-AU"/>
        </w:rPr>
        <w:t>s</w:t>
      </w:r>
      <w:r w:rsidRPr="008F2447">
        <w:rPr>
          <w:rFonts w:asciiTheme="majorBidi" w:hAnsiTheme="majorBidi" w:cstheme="majorBidi"/>
          <w:color w:val="000000"/>
          <w:lang w:val="en-AU"/>
        </w:rPr>
        <w:t xml:space="preserve"> </w:t>
      </w:r>
      <w:r w:rsidR="00FC1A35">
        <w:rPr>
          <w:rFonts w:asciiTheme="majorBidi" w:hAnsiTheme="majorBidi" w:cstheme="majorBidi"/>
          <w:color w:val="000000"/>
          <w:lang w:val="en-AU"/>
        </w:rPr>
        <w:t xml:space="preserve">at different sites </w:t>
      </w:r>
      <w:r w:rsidRPr="008F2447">
        <w:rPr>
          <w:rFonts w:asciiTheme="majorBidi" w:hAnsiTheme="majorBidi" w:cstheme="majorBidi"/>
          <w:color w:val="000000"/>
          <w:lang w:val="en-AU"/>
        </w:rPr>
        <w:t xml:space="preserve">in older adults. Given that we aimed to determine differences in risk for osteoporosis and fracture for </w:t>
      </w:r>
      <w:proofErr w:type="spellStart"/>
      <w:r w:rsidRPr="008F2447">
        <w:rPr>
          <w:rFonts w:asciiTheme="majorBidi" w:hAnsiTheme="majorBidi" w:cstheme="majorBidi"/>
          <w:color w:val="000000"/>
          <w:lang w:val="en-AU"/>
        </w:rPr>
        <w:t>sarcopenic</w:t>
      </w:r>
      <w:proofErr w:type="spellEnd"/>
      <w:r w:rsidR="00135A5E" w:rsidRPr="008F2447">
        <w:rPr>
          <w:rFonts w:asciiTheme="majorBidi" w:hAnsiTheme="majorBidi" w:cstheme="majorBidi"/>
          <w:color w:val="000000"/>
          <w:lang w:val="en-AU"/>
        </w:rPr>
        <w:t xml:space="preserve"> obese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compared with both non-</w:t>
      </w:r>
      <w:proofErr w:type="spellStart"/>
      <w:r w:rsidRPr="008F2447">
        <w:rPr>
          <w:rFonts w:asciiTheme="majorBidi" w:hAnsiTheme="majorBidi" w:cstheme="majorBidi"/>
          <w:color w:val="000000"/>
          <w:lang w:val="en-AU"/>
        </w:rPr>
        <w:t>sarcopenic</w:t>
      </w:r>
      <w:proofErr w:type="spellEnd"/>
      <w:r w:rsidR="00135A5E" w:rsidRPr="008F2447">
        <w:rPr>
          <w:rFonts w:asciiTheme="majorBidi" w:hAnsiTheme="majorBidi" w:cstheme="majorBidi"/>
          <w:color w:val="000000"/>
          <w:lang w:val="en-AU"/>
        </w:rPr>
        <w:t xml:space="preserve"> non-obese and non-</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non-obese</w:t>
      </w:r>
      <w:r w:rsidR="00135A5E" w:rsidRPr="008F2447">
        <w:rPr>
          <w:rFonts w:asciiTheme="majorBidi" w:hAnsiTheme="majorBidi" w:cstheme="majorBidi"/>
          <w:color w:val="000000"/>
          <w:lang w:val="en-AU"/>
        </w:rPr>
        <w:t>,</w:t>
      </w:r>
      <w:r w:rsidRPr="008F2447">
        <w:rPr>
          <w:rFonts w:asciiTheme="majorBidi" w:hAnsiTheme="majorBidi" w:cstheme="majorBidi"/>
          <w:color w:val="000000"/>
          <w:lang w:val="en-AU"/>
        </w:rPr>
        <w:t xml:space="preserve"> and obese alone counterparts, we performed multiple comparisons and did not adjust for these. Lastly there is no consensus definition of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obesity and so we used thresholds </w:t>
      </w:r>
      <w:r w:rsidR="004B4223">
        <w:rPr>
          <w:rFonts w:asciiTheme="majorBidi" w:hAnsiTheme="majorBidi" w:cstheme="majorBidi"/>
          <w:color w:val="000000"/>
          <w:lang w:val="en-AU"/>
        </w:rPr>
        <w:t xml:space="preserve">that we have </w:t>
      </w:r>
      <w:r w:rsidRPr="008F2447">
        <w:rPr>
          <w:rFonts w:asciiTheme="majorBidi" w:hAnsiTheme="majorBidi" w:cstheme="majorBidi"/>
          <w:color w:val="000000"/>
          <w:lang w:val="en-AU"/>
        </w:rPr>
        <w:t xml:space="preserve">previously applied in this study </w:t>
      </w:r>
      <w:r w:rsidR="008B481D" w:rsidRPr="008F2447">
        <w:rPr>
          <w:rFonts w:asciiTheme="majorBidi" w:hAnsiTheme="majorBidi" w:cstheme="majorBidi"/>
          <w:color w:val="000000"/>
          <w:lang w:val="en-AU"/>
        </w:rPr>
        <w:fldChar w:fldCharType="begin"/>
      </w:r>
      <w:r w:rsidR="00B57F6D">
        <w:rPr>
          <w:rFonts w:asciiTheme="majorBidi" w:hAnsiTheme="majorBidi" w:cstheme="majorBidi"/>
          <w:color w:val="000000"/>
          <w:lang w:val="en-AU"/>
        </w:rPr>
        <w:instrText xml:space="preserve"> ADDIN EN.CITE &lt;EndNote&gt;&lt;Cite&gt;&lt;Author&gt;Scott&lt;/Author&gt;&lt;Year&gt;2014&lt;/Year&gt;&lt;RecNum&gt;1229&lt;/RecNum&gt;&lt;DisplayText&gt;[11]&lt;/DisplayText&gt;&lt;record&gt;&lt;rec-number&gt;1229&lt;/rec-number&gt;&lt;foreign-keys&gt;&lt;key app="EN" db-id="0szssftsn5vfs8eepaz5ew9hxvx5dsfds9z5" timestamp="1374210174"&gt;1229&lt;/key&gt;&lt;/foreign-keys&gt;&lt;ref-type name="Journal Article"&gt;17&lt;/ref-type&gt;&lt;contributors&gt;&lt;authors&gt;&lt;author&gt;Scott, D&lt;/author&gt;&lt;author&gt;Sanders, K.&lt;/author&gt;&lt;author&gt;Aitken, D&lt;/author&gt;&lt;author&gt;Hayes, A&lt;/author&gt;&lt;author&gt;Ebeling, P.R.&lt;/author&gt;&lt;author&gt;Jones, G&lt;/author&gt;&lt;/authors&gt;&lt;/contributors&gt;&lt;titles&gt;&lt;title&gt;Sarcopenic obesity and dynapenic obesity: 5-year associations with falls risk in middle-aged and older adults&lt;/title&gt;&lt;secondary-title&gt;Obesity&lt;/secondary-title&gt;&lt;/titles&gt;&lt;periodical&gt;&lt;full-title&gt;Obesity&lt;/full-title&gt;&lt;abbr-1&gt;Obesity&lt;/abbr-1&gt;&lt;abbr-2&gt;Obesity&lt;/abbr-2&gt;&lt;/periodical&gt;&lt;pages&gt;1568-1574&lt;/pages&gt;&lt;volume&gt;22&lt;/volume&gt;&lt;number&gt;6&lt;/number&gt;&lt;dates&gt;&lt;year&gt;2014&lt;/year&gt;&lt;/dates&gt;&lt;urls&gt;&lt;/urls&gt;&lt;/record&gt;&lt;/Cite&gt;&lt;/EndNote&gt;</w:instrText>
      </w:r>
      <w:r w:rsidR="008B481D" w:rsidRPr="008F2447">
        <w:rPr>
          <w:rFonts w:asciiTheme="majorBidi" w:hAnsiTheme="majorBidi" w:cstheme="majorBidi"/>
          <w:color w:val="000000"/>
          <w:lang w:val="en-AU"/>
        </w:rPr>
        <w:fldChar w:fldCharType="separate"/>
      </w:r>
      <w:r w:rsidR="00B57F6D">
        <w:rPr>
          <w:rFonts w:asciiTheme="majorBidi" w:hAnsiTheme="majorBidi" w:cstheme="majorBidi"/>
          <w:noProof/>
          <w:color w:val="000000"/>
          <w:lang w:val="en-AU"/>
        </w:rPr>
        <w:t>[11]</w:t>
      </w:r>
      <w:r w:rsidR="008B481D" w:rsidRPr="008F2447">
        <w:rPr>
          <w:rFonts w:asciiTheme="majorBidi" w:hAnsiTheme="majorBidi" w:cstheme="majorBidi"/>
          <w:color w:val="000000"/>
          <w:lang w:val="en-AU"/>
        </w:rPr>
        <w:fldChar w:fldCharType="end"/>
      </w:r>
      <w:r w:rsidR="004B4223">
        <w:rPr>
          <w:rFonts w:asciiTheme="majorBidi" w:hAnsiTheme="majorBidi" w:cstheme="majorBidi"/>
          <w:color w:val="000000"/>
          <w:lang w:val="en-AU"/>
        </w:rPr>
        <w:t>. The thresholds we used</w:t>
      </w:r>
      <w:r w:rsidRPr="008F2447">
        <w:rPr>
          <w:rFonts w:asciiTheme="majorBidi" w:hAnsiTheme="majorBidi" w:cstheme="majorBidi"/>
          <w:color w:val="000000"/>
          <w:lang w:val="en-AU"/>
        </w:rPr>
        <w:t xml:space="preserve"> </w:t>
      </w:r>
      <w:r w:rsidR="004B4223">
        <w:rPr>
          <w:rFonts w:asciiTheme="majorBidi" w:hAnsiTheme="majorBidi" w:cstheme="majorBidi"/>
          <w:color w:val="000000"/>
          <w:lang w:val="en-AU"/>
        </w:rPr>
        <w:t xml:space="preserve">were based on the lowest </w:t>
      </w:r>
      <w:proofErr w:type="spellStart"/>
      <w:r w:rsidR="004B4223">
        <w:rPr>
          <w:rFonts w:asciiTheme="majorBidi" w:hAnsiTheme="majorBidi" w:cstheme="majorBidi"/>
          <w:color w:val="000000"/>
          <w:lang w:val="en-AU"/>
        </w:rPr>
        <w:t>tertile</w:t>
      </w:r>
      <w:proofErr w:type="spellEnd"/>
      <w:r w:rsidR="004B4223">
        <w:rPr>
          <w:rFonts w:asciiTheme="majorBidi" w:hAnsiTheme="majorBidi" w:cstheme="majorBidi"/>
          <w:color w:val="000000"/>
          <w:lang w:val="en-AU"/>
        </w:rPr>
        <w:t xml:space="preserve"> for muscle mass and strength, and highest </w:t>
      </w:r>
      <w:proofErr w:type="spellStart"/>
      <w:r w:rsidR="004B4223">
        <w:rPr>
          <w:rFonts w:asciiTheme="majorBidi" w:hAnsiTheme="majorBidi" w:cstheme="majorBidi"/>
          <w:color w:val="000000"/>
          <w:lang w:val="en-AU"/>
        </w:rPr>
        <w:t>tertile</w:t>
      </w:r>
      <w:proofErr w:type="spellEnd"/>
      <w:r w:rsidR="004B4223">
        <w:rPr>
          <w:rFonts w:asciiTheme="majorBidi" w:hAnsiTheme="majorBidi" w:cstheme="majorBidi"/>
          <w:color w:val="000000"/>
          <w:lang w:val="en-AU"/>
        </w:rPr>
        <w:t xml:space="preserve"> for fat mass. These cut-points differ from other commonly suggested cut-points for </w:t>
      </w:r>
      <w:proofErr w:type="spellStart"/>
      <w:r w:rsidR="004B4223">
        <w:rPr>
          <w:rFonts w:asciiTheme="majorBidi" w:hAnsiTheme="majorBidi" w:cstheme="majorBidi"/>
          <w:color w:val="000000"/>
          <w:lang w:val="en-AU"/>
        </w:rPr>
        <w:t>sarcopenia</w:t>
      </w:r>
      <w:proofErr w:type="spellEnd"/>
      <w:r w:rsidR="004B4223">
        <w:rPr>
          <w:rFonts w:asciiTheme="majorBidi" w:hAnsiTheme="majorBidi" w:cstheme="majorBidi"/>
          <w:color w:val="000000"/>
          <w:lang w:val="en-AU"/>
        </w:rPr>
        <w:t xml:space="preserve">, including muscle mass within the lowest sex-specific 20% of a cohort </w:t>
      </w:r>
      <w:r w:rsidR="007D3900">
        <w:rPr>
          <w:rFonts w:asciiTheme="majorBidi" w:hAnsiTheme="majorBidi" w:cstheme="majorBidi"/>
          <w:color w:val="000000"/>
          <w:lang w:val="en-AU"/>
        </w:rPr>
        <w:fldChar w:fldCharType="begin"/>
      </w:r>
      <w:r w:rsidR="001311D5">
        <w:rPr>
          <w:rFonts w:asciiTheme="majorBidi" w:hAnsiTheme="majorBidi" w:cstheme="majorBidi"/>
          <w:color w:val="000000"/>
          <w:lang w:val="en-AU"/>
        </w:rPr>
        <w:instrText xml:space="preserve"> ADDIN EN.CITE &lt;EndNote&gt;&lt;Cite&gt;&lt;Author&gt;Newman&lt;/Author&gt;&lt;Year&gt;2003&lt;/Year&gt;&lt;RecNum&gt;269&lt;/RecNum&gt;&lt;DisplayText&gt;[19]&lt;/DisplayText&gt;&lt;record&gt;&lt;rec-number&gt;269&lt;/rec-number&gt;&lt;foreign-keys&gt;&lt;key app="EN" db-id="0szssftsn5vfs8eepaz5ew9hxvx5dsfds9z5" timestamp="0"&gt;269&lt;/key&gt;&lt;/foreign-keys&gt;&lt;ref-type name="Journal Article"&gt;17&lt;/ref-type&gt;&lt;contributors&gt;&lt;authors&gt;&lt;author&gt;Newman, A. B.&lt;/author&gt;&lt;author&gt;Kupelian, V.&lt;/author&gt;&lt;author&gt;Visser, M.&lt;/author&gt;&lt;author&gt;Simonsick, E.&lt;/author&gt;&lt;author&gt;Goodpaster, B.&lt;/author&gt;&lt;author&gt;Nevitt, M.&lt;/author&gt;&lt;author&gt;Kritchevsky, S. B.&lt;/author&gt;&lt;author&gt;Tylavsky, F. A.&lt;/author&gt;&lt;author&gt;Rubin, S. M.&lt;/author&gt;&lt;author&gt;Harris, T. B.&lt;/author&gt;&lt;/authors&gt;&lt;/contributors&gt;&lt;titles&gt;&lt;title&gt;Sarcopenia: alternative definitions and associations with lower extremity function&lt;/title&gt;&lt;secondary-title&gt;Journal of the American Geriatrics Society&lt;/secondary-title&gt;&lt;/titles&gt;&lt;periodical&gt;&lt;full-title&gt;Journal of the American Geriatrics Society&lt;/full-title&gt;&lt;abbr-1&gt;J. Am. Geriatr. Soc.&lt;/abbr-1&gt;&lt;abbr-2&gt;J Am Geriatr Soc&lt;/abbr-2&gt;&lt;/periodical&gt;&lt;pages&gt;1602-1609&lt;/pages&gt;&lt;volume&gt;51&lt;/volume&gt;&lt;number&gt;11&lt;/number&gt;&lt;dates&gt;&lt;year&gt;2003&lt;/year&gt;&lt;/dates&gt;&lt;urls&gt;&lt;pdf-urls&gt;&lt;url&gt;file:///C:/Documents%20and%20Settings/dsscott/Desktop/PhD/Sarcopenia%20Articles/Newman2003.pdf&lt;/url&gt;&lt;/pdf-urls&gt;&lt;/urls&gt;&lt;/record&gt;&lt;/Cite&gt;&lt;/EndNote&gt;</w:instrText>
      </w:r>
      <w:r w:rsidR="007D3900">
        <w:rPr>
          <w:rFonts w:asciiTheme="majorBidi" w:hAnsiTheme="majorBidi" w:cstheme="majorBidi"/>
          <w:color w:val="000000"/>
          <w:lang w:val="en-AU"/>
        </w:rPr>
        <w:fldChar w:fldCharType="separate"/>
      </w:r>
      <w:r w:rsidR="001311D5">
        <w:rPr>
          <w:rFonts w:asciiTheme="majorBidi" w:hAnsiTheme="majorBidi" w:cstheme="majorBidi"/>
          <w:noProof/>
          <w:color w:val="000000"/>
          <w:lang w:val="en-AU"/>
        </w:rPr>
        <w:t>[19]</w:t>
      </w:r>
      <w:r w:rsidR="007D3900">
        <w:rPr>
          <w:rFonts w:asciiTheme="majorBidi" w:hAnsiTheme="majorBidi" w:cstheme="majorBidi"/>
          <w:color w:val="000000"/>
          <w:lang w:val="en-AU"/>
        </w:rPr>
        <w:fldChar w:fldCharType="end"/>
      </w:r>
      <w:r w:rsidR="007D3900">
        <w:rPr>
          <w:rFonts w:asciiTheme="majorBidi" w:hAnsiTheme="majorBidi" w:cstheme="majorBidi"/>
          <w:color w:val="000000"/>
          <w:lang w:val="en-AU"/>
        </w:rPr>
        <w:t xml:space="preserve"> </w:t>
      </w:r>
      <w:r w:rsidR="004B4223">
        <w:rPr>
          <w:rFonts w:asciiTheme="majorBidi" w:hAnsiTheme="majorBidi" w:cstheme="majorBidi"/>
          <w:color w:val="000000"/>
          <w:lang w:val="en-AU"/>
        </w:rPr>
        <w:t>or two standard deviations below the mean of a representative young adult population</w:t>
      </w:r>
      <w:r w:rsidR="007D3900">
        <w:rPr>
          <w:rFonts w:asciiTheme="majorBidi" w:hAnsiTheme="majorBidi" w:cstheme="majorBidi"/>
          <w:color w:val="000000"/>
          <w:lang w:val="en-AU"/>
        </w:rPr>
        <w:t xml:space="preserve"> </w:t>
      </w:r>
      <w:r w:rsidR="007D3900">
        <w:rPr>
          <w:rFonts w:asciiTheme="majorBidi" w:hAnsiTheme="majorBidi" w:cstheme="majorBidi"/>
          <w:color w:val="000000"/>
          <w:lang w:val="en-AU"/>
        </w:rPr>
        <w:fldChar w:fldCharType="begin"/>
      </w:r>
      <w:r w:rsidR="00A96834">
        <w:rPr>
          <w:rFonts w:asciiTheme="majorBidi" w:hAnsiTheme="majorBidi" w:cstheme="majorBidi"/>
          <w:color w:val="000000"/>
          <w:lang w:val="en-AU"/>
        </w:rPr>
        <w:instrText xml:space="preserve"> ADDIN EN.CITE &lt;EndNote&gt;&lt;Cite&gt;&lt;Author&gt;Baumgartner&lt;/Author&gt;&lt;Year&gt;1998&lt;/Year&gt;&lt;RecNum&gt;95&lt;/RecNum&gt;&lt;DisplayText&gt;[32]&lt;/DisplayText&gt;&lt;record&gt;&lt;rec-number&gt;95&lt;/rec-number&gt;&lt;foreign-keys&gt;&lt;key app="EN" db-id="0szssftsn5vfs8eepaz5ew9hxvx5dsfds9z5" timestamp="0"&gt;95&lt;/key&gt;&lt;/foreign-keys&gt;&lt;ref-type name="Journal Article"&gt;17&lt;/ref-type&gt;&lt;contributors&gt;&lt;authors&gt;&lt;author&gt;Baumgartner, R N &lt;/author&gt;&lt;author&gt;Romero, L&lt;/author&gt;&lt;author&gt;Garry, P J&lt;/author&gt;&lt;author&gt;Heymsfield, S B&lt;/author&gt;&lt;author&gt;Koehler, K M&lt;/author&gt;&lt;author&gt;Gallagher, D&lt;/author&gt;&lt;author&gt;Ross, R R&lt;/author&gt;&lt;author&gt;Lindeman, R D&lt;/author&gt;&lt;/authors&gt;&lt;/contributors&gt;&lt;titles&gt;&lt;title&gt;Epidemiology of sarcopenia among the elderly in New Mexico&lt;/title&gt;&lt;secondary-title&gt;American Journal of Epidemiology&lt;/secondary-title&gt;&lt;/titles&gt;&lt;periodical&gt;&lt;full-title&gt;American Journal of Epidemiology&lt;/full-title&gt;&lt;abbr-1&gt;Am. J. Epidemiol.&lt;/abbr-1&gt;&lt;abbr-2&gt;Am J Epidemiol&lt;/abbr-2&gt;&lt;/periodical&gt;&lt;pages&gt;755-763&lt;/pages&gt;&lt;volume&gt;147&lt;/volume&gt;&lt;number&gt;8&lt;/number&gt;&lt;keywords&gt;&lt;keyword&gt;Logistic Models&lt;/keyword&gt;&lt;keyword&gt;Male&lt;/keyword&gt;&lt;keyword&gt;Prevalence&lt;/keyword&gt;&lt;keyword&gt;Random Allocation&lt;/keyword&gt;&lt;keyword&gt;Humans&lt;/keyword&gt;&lt;keyword&gt;Frail Elderly&lt;/keyword&gt;&lt;keyword&gt;Hispanic Americans&lt;/keyword&gt;&lt;keyword&gt;Anthropometry&lt;/keyword&gt;&lt;keyword&gt;Muscular Atrophy/*epidemiology&lt;/keyword&gt;&lt;keyword&gt;Aged, 80 and over&lt;/keyword&gt;&lt;keyword&gt;European Continental Ancestry Group&lt;/keyword&gt;&lt;keyword&gt;Geriatric Assessment&lt;/keyword&gt;&lt;keyword&gt;New Mexico/epidemiology&lt;/keyword&gt;&lt;keyword&gt;Aged&lt;/keyword&gt;&lt;keyword&gt;Aging/physiology&lt;/keyword&gt;&lt;keyword&gt;Body Mass Index&lt;/keyword&gt;&lt;keyword&gt;Female&lt;/keyword&gt;&lt;keyword&gt;Cross-Sectional Studies&lt;/keyword&gt;&lt;keyword&gt;Adult&lt;/keyword&gt;&lt;keyword&gt;Body Composition&lt;/keyword&gt;&lt;/keywords&gt;&lt;dates&gt;&lt;year&gt;1998&lt;/year&gt;&lt;/dates&gt;&lt;accession-num&gt;Medline via PubMed&lt;/accession-num&gt;&lt;urls&gt;&lt;pdf-urls&gt;&lt;url&gt;file:///C:/Documents%20and%20Settings/dsscott/Desktop/PhD/Pedometer%20Articles/Baumgartner1998.pdf&lt;/url&gt;&lt;/pdf-urls&gt;&lt;/urls&gt;&lt;/record&gt;&lt;/Cite&gt;&lt;/EndNote&gt;</w:instrText>
      </w:r>
      <w:r w:rsidR="007D3900">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[32]</w:t>
      </w:r>
      <w:r w:rsidR="007D3900">
        <w:rPr>
          <w:rFonts w:asciiTheme="majorBidi" w:hAnsiTheme="majorBidi" w:cstheme="majorBidi"/>
          <w:color w:val="000000"/>
          <w:lang w:val="en-AU"/>
        </w:rPr>
        <w:fldChar w:fldCharType="end"/>
      </w:r>
      <w:r w:rsidR="004B4223">
        <w:rPr>
          <w:rFonts w:asciiTheme="majorBidi" w:hAnsiTheme="majorBidi" w:cstheme="majorBidi"/>
          <w:color w:val="000000"/>
          <w:lang w:val="en-AU"/>
        </w:rPr>
        <w:t xml:space="preserve">, but </w:t>
      </w:r>
      <w:r w:rsidR="00444CAD">
        <w:rPr>
          <w:rFonts w:asciiTheme="majorBidi" w:hAnsiTheme="majorBidi" w:cstheme="majorBidi"/>
          <w:color w:val="000000"/>
          <w:lang w:val="en-AU"/>
        </w:rPr>
        <w:t>are</w:t>
      </w:r>
      <w:r w:rsidR="004B4223">
        <w:rPr>
          <w:rFonts w:asciiTheme="majorBidi" w:hAnsiTheme="majorBidi" w:cstheme="majorBidi"/>
          <w:color w:val="000000"/>
          <w:lang w:val="en-AU"/>
        </w:rPr>
        <w:t xml:space="preserve"> consistent with other studies of </w:t>
      </w:r>
      <w:proofErr w:type="spellStart"/>
      <w:r w:rsidR="004B4223">
        <w:rPr>
          <w:rFonts w:asciiTheme="majorBidi" w:hAnsiTheme="majorBidi" w:cstheme="majorBidi"/>
          <w:color w:val="000000"/>
          <w:lang w:val="en-AU"/>
        </w:rPr>
        <w:t>sarcopenic</w:t>
      </w:r>
      <w:proofErr w:type="spellEnd"/>
      <w:r w:rsidR="004B4223">
        <w:rPr>
          <w:rFonts w:asciiTheme="majorBidi" w:hAnsiTheme="majorBidi" w:cstheme="majorBidi"/>
          <w:color w:val="000000"/>
          <w:lang w:val="en-AU"/>
        </w:rPr>
        <w:t xml:space="preserve"> and </w:t>
      </w:r>
      <w:proofErr w:type="spellStart"/>
      <w:r w:rsidR="004B4223">
        <w:rPr>
          <w:rFonts w:asciiTheme="majorBidi" w:hAnsiTheme="majorBidi" w:cstheme="majorBidi"/>
          <w:color w:val="000000"/>
          <w:lang w:val="en-AU"/>
        </w:rPr>
        <w:t>dynapenic</w:t>
      </w:r>
      <w:proofErr w:type="spellEnd"/>
      <w:r w:rsidR="004B4223">
        <w:rPr>
          <w:rFonts w:asciiTheme="majorBidi" w:hAnsiTheme="majorBidi" w:cstheme="majorBidi"/>
          <w:color w:val="000000"/>
          <w:lang w:val="en-AU"/>
        </w:rPr>
        <w:t xml:space="preserve"> obesity </w:t>
      </w:r>
      <w:r w:rsidR="007D3900">
        <w:rPr>
          <w:rFonts w:asciiTheme="majorBidi" w:hAnsiTheme="majorBidi" w:cstheme="majorBidi"/>
        </w:rPr>
        <w:fldChar w:fldCharType="begin"/>
      </w:r>
      <w:r w:rsidR="001311D5">
        <w:rPr>
          <w:rFonts w:asciiTheme="majorBidi" w:hAnsiTheme="majorBidi" w:cstheme="majorBidi"/>
        </w:rPr>
        <w:instrText xml:space="preserve"> ADDIN EN.CITE &lt;EndNote&gt;&lt;Cite&gt;&lt;Author&gt;Bouchard&lt;/Author&gt;&lt;Year&gt;2010&lt;/Year&gt;&lt;RecNum&gt;914&lt;/RecNum&gt;&lt;DisplayText&gt;[20, 21]&lt;/DisplayText&gt;&lt;record&gt;&lt;rec-number&gt;914&lt;/rec-number&gt;&lt;foreign-keys&gt;&lt;key app="EN" db-id="0szssftsn5vfs8eepaz5ew9hxvx5dsfds9z5" timestamp="1349917741"&gt;914&lt;/key&gt;&lt;/foreign-keys&gt;&lt;ref-type name="Journal Article"&gt;17&lt;/ref-type&gt;&lt;contributors&gt;&lt;authors&gt;&lt;author&gt;Bouchard, D.R.&lt;/author&gt;&lt;author&gt;Janssen, I.&lt;/author&gt;&lt;/authors&gt;&lt;/contributors&gt;&lt;titles&gt;&lt;title&gt;Dynapenic-obesity and physical function in older adults&lt;/title&gt;&lt;secondary-title&gt;Journals of Gerontology. Series A, Biological Sciences and Medical Sciences&lt;/secondary-title&gt;&lt;/titles&gt;&lt;periodical&gt;&lt;full-title&gt;Journals of Gerontology. Series A, Biological Sciences and Medical Sciences&lt;/full-title&gt;&lt;abbr-1&gt;J. Gerontol. A. Biol. Sci. Med. Sci.&lt;/abbr-1&gt;&lt;abbr-2&gt;J Gerontol A Biol Sci Med Sci&lt;/abbr-2&gt;&lt;/periodical&gt;&lt;pages&gt;71-77&lt;/pages&gt;&lt;volume&gt;65&lt;/volume&gt;&lt;number&gt;1&lt;/number&gt;&lt;dates&gt;&lt;year&gt;2010&lt;/year&gt;&lt;/dates&gt;&lt;isbn&gt;1079-5006&lt;/isbn&gt;&lt;urls&gt;&lt;/urls&gt;&lt;/record&gt;&lt;/Cite&gt;&lt;Cite&gt;&lt;Author&gt;Sénéchal&lt;/Author&gt;&lt;Year&gt;2012&lt;/Year&gt;&lt;RecNum&gt;833&lt;/RecNum&gt;&lt;record&gt;&lt;rec-number&gt;833&lt;/rec-number&gt;&lt;foreign-keys&gt;&lt;key app="EN" db-id="0szssftsn5vfs8eepaz5ew9hxvx5dsfds9z5" timestamp="1343961987"&gt;833&lt;/key&gt;&lt;/foreign-keys&gt;&lt;ref-type name="Journal Article"&gt;17&lt;/ref-type&gt;&lt;contributors&gt;&lt;authors&gt;&lt;author&gt;Sénéchal, M.&lt;/author&gt;&lt;author&gt;Dionne, I.J.&lt;/author&gt;&lt;author&gt;Brochu, M.&lt;/author&gt;&lt;/authors&gt;&lt;/contributors&gt;&lt;titles&gt;&lt;title&gt;Dynapenic abdominal obesity and metabolic risk factors in adults 50 years of age and older&lt;/title&gt;&lt;secondary-title&gt;Journal of Aging and Health&lt;/secondary-title&gt;&lt;/titles&gt;&lt;periodical&gt;&lt;full-title&gt;Journal of Aging and Health&lt;/full-title&gt;&lt;abbr-1&gt;J. Aging Health&lt;/abbr-1&gt;&lt;abbr-2&gt;J Aging Health&lt;/abbr-2&gt;&lt;/periodical&gt;&lt;pages&gt;812-826&lt;/pages&gt;&lt;volume&gt;24&lt;/volume&gt;&lt;number&gt;5&lt;/number&gt;&lt;dates&gt;&lt;year&gt;2012&lt;/year&gt;&lt;/dates&gt;&lt;isbn&gt;0898-2643&lt;/isbn&gt;&lt;urls&gt;&lt;/urls&gt;&lt;/record&gt;&lt;/Cite&gt;&lt;/EndNote&gt;</w:instrText>
      </w:r>
      <w:r w:rsidR="007D3900">
        <w:rPr>
          <w:rFonts w:asciiTheme="majorBidi" w:hAnsiTheme="majorBidi" w:cstheme="majorBidi"/>
        </w:rPr>
        <w:fldChar w:fldCharType="separate"/>
      </w:r>
      <w:r w:rsidR="001311D5">
        <w:rPr>
          <w:rFonts w:asciiTheme="majorBidi" w:hAnsiTheme="majorBidi" w:cstheme="majorBidi"/>
          <w:noProof/>
        </w:rPr>
        <w:t>[20, 21]</w:t>
      </w:r>
      <w:r w:rsidR="007D3900">
        <w:rPr>
          <w:rFonts w:asciiTheme="majorBidi" w:hAnsiTheme="majorBidi" w:cstheme="majorBidi"/>
        </w:rPr>
        <w:fldChar w:fldCharType="end"/>
      </w:r>
      <w:r w:rsidR="007D3900">
        <w:rPr>
          <w:rFonts w:asciiTheme="majorBidi" w:hAnsiTheme="majorBidi" w:cstheme="majorBidi"/>
        </w:rPr>
        <w:t>.</w:t>
      </w:r>
      <w:r w:rsidR="004B4223">
        <w:rPr>
          <w:rFonts w:asciiTheme="majorBidi" w:hAnsiTheme="majorBidi" w:cstheme="majorBidi"/>
          <w:color w:val="000000"/>
          <w:lang w:val="en-AU"/>
        </w:rPr>
        <w:t xml:space="preserve"> Furthermore, there is a clear lack of consensus as to whether </w:t>
      </w:r>
      <w:proofErr w:type="spellStart"/>
      <w:r w:rsidR="004B4223">
        <w:rPr>
          <w:rFonts w:asciiTheme="majorBidi" w:hAnsiTheme="majorBidi" w:cstheme="majorBidi"/>
          <w:color w:val="000000"/>
          <w:lang w:val="en-AU"/>
        </w:rPr>
        <w:t>sarcopenia</w:t>
      </w:r>
      <w:proofErr w:type="spellEnd"/>
      <w:r w:rsidR="004B4223">
        <w:rPr>
          <w:rFonts w:asciiTheme="majorBidi" w:hAnsiTheme="majorBidi" w:cstheme="majorBidi"/>
          <w:color w:val="000000"/>
          <w:lang w:val="en-AU"/>
        </w:rPr>
        <w:t xml:space="preserve"> and </w:t>
      </w:r>
      <w:proofErr w:type="spellStart"/>
      <w:r w:rsidR="004B4223">
        <w:rPr>
          <w:rFonts w:asciiTheme="majorBidi" w:hAnsiTheme="majorBidi" w:cstheme="majorBidi"/>
          <w:color w:val="000000"/>
          <w:lang w:val="en-AU"/>
        </w:rPr>
        <w:t>d</w:t>
      </w:r>
      <w:r w:rsidR="007D3900">
        <w:rPr>
          <w:rFonts w:asciiTheme="majorBidi" w:hAnsiTheme="majorBidi" w:cstheme="majorBidi"/>
          <w:color w:val="000000"/>
          <w:lang w:val="en-AU"/>
        </w:rPr>
        <w:t>ynapeni</w:t>
      </w:r>
      <w:r w:rsidR="004B4223">
        <w:rPr>
          <w:rFonts w:asciiTheme="majorBidi" w:hAnsiTheme="majorBidi" w:cstheme="majorBidi"/>
          <w:color w:val="000000"/>
          <w:lang w:val="en-AU"/>
        </w:rPr>
        <w:t>a</w:t>
      </w:r>
      <w:proofErr w:type="spellEnd"/>
      <w:r w:rsidR="004B4223">
        <w:rPr>
          <w:rFonts w:asciiTheme="majorBidi" w:hAnsiTheme="majorBidi" w:cstheme="majorBidi"/>
          <w:color w:val="000000"/>
          <w:lang w:val="en-AU"/>
        </w:rPr>
        <w:t xml:space="preserve"> </w:t>
      </w:r>
      <w:r w:rsidR="007D3900">
        <w:rPr>
          <w:rFonts w:asciiTheme="majorBidi" w:hAnsiTheme="majorBidi" w:cstheme="majorBidi"/>
          <w:color w:val="000000"/>
          <w:lang w:val="en-AU"/>
        </w:rPr>
        <w:t xml:space="preserve">should be considered </w:t>
      </w:r>
      <w:r w:rsidR="004B4223">
        <w:rPr>
          <w:rFonts w:asciiTheme="majorBidi" w:hAnsiTheme="majorBidi" w:cstheme="majorBidi"/>
          <w:color w:val="000000"/>
          <w:lang w:val="en-AU"/>
        </w:rPr>
        <w:t xml:space="preserve">separate conditions, </w:t>
      </w:r>
      <w:r w:rsidR="007D3900">
        <w:rPr>
          <w:rFonts w:asciiTheme="majorBidi" w:hAnsiTheme="majorBidi" w:cstheme="majorBidi"/>
          <w:color w:val="000000"/>
          <w:lang w:val="en-AU"/>
        </w:rPr>
        <w:t>and</w:t>
      </w:r>
      <w:r w:rsidR="004B4223">
        <w:rPr>
          <w:rFonts w:asciiTheme="majorBidi" w:hAnsiTheme="majorBidi" w:cstheme="majorBidi"/>
          <w:color w:val="000000"/>
          <w:lang w:val="en-AU"/>
        </w:rPr>
        <w:t xml:space="preserve"> current definitions </w:t>
      </w:r>
      <w:r w:rsidR="007D3900">
        <w:rPr>
          <w:rFonts w:asciiTheme="majorBidi" w:hAnsiTheme="majorBidi" w:cstheme="majorBidi"/>
          <w:color w:val="000000"/>
          <w:lang w:val="en-AU"/>
        </w:rPr>
        <w:t xml:space="preserve">generally </w:t>
      </w:r>
      <w:r w:rsidR="004B4223">
        <w:rPr>
          <w:rFonts w:asciiTheme="majorBidi" w:hAnsiTheme="majorBidi" w:cstheme="majorBidi"/>
          <w:color w:val="000000"/>
          <w:lang w:val="en-AU"/>
        </w:rPr>
        <w:t>incorporat</w:t>
      </w:r>
      <w:r w:rsidR="007D3900">
        <w:rPr>
          <w:rFonts w:asciiTheme="majorBidi" w:hAnsiTheme="majorBidi" w:cstheme="majorBidi"/>
          <w:color w:val="000000"/>
          <w:lang w:val="en-AU"/>
        </w:rPr>
        <w:t xml:space="preserve">e </w:t>
      </w:r>
      <w:r w:rsidR="004B4223">
        <w:rPr>
          <w:rFonts w:asciiTheme="majorBidi" w:hAnsiTheme="majorBidi" w:cstheme="majorBidi"/>
          <w:color w:val="000000"/>
          <w:lang w:val="en-AU"/>
        </w:rPr>
        <w:t xml:space="preserve">muscle function as a component of </w:t>
      </w:r>
      <w:proofErr w:type="spellStart"/>
      <w:r w:rsidR="004B4223">
        <w:rPr>
          <w:rFonts w:asciiTheme="majorBidi" w:hAnsiTheme="majorBidi" w:cstheme="majorBidi"/>
          <w:color w:val="000000"/>
          <w:lang w:val="en-AU"/>
        </w:rPr>
        <w:t>sarcopenia</w:t>
      </w:r>
      <w:proofErr w:type="spellEnd"/>
      <w:r w:rsidR="004B4223">
        <w:rPr>
          <w:rFonts w:asciiTheme="majorBidi" w:hAnsiTheme="majorBidi" w:cstheme="majorBidi"/>
          <w:color w:val="000000"/>
          <w:lang w:val="en-AU"/>
        </w:rPr>
        <w:t xml:space="preserve"> </w:t>
      </w:r>
      <w:r w:rsidR="007D3900">
        <w:rPr>
          <w:rFonts w:asciiTheme="majorBidi" w:hAnsiTheme="majorBidi" w:cstheme="majorBidi"/>
          <w:color w:val="000000"/>
          <w:lang w:val="en-AU"/>
        </w:rPr>
        <w:fldChar w:fldCharType="begin">
          <w:fldData xml:space="preserve">PEVuZE5vdGU+PENpdGU+PEF1dGhvcj5DcnV6LUplbnRvZnQ8L0F1dGhvcj48WWVhcj4yMDEwPC9Z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bnRlciBvbiBBZ2luZywgQm9zdG9uLCBNQSYjeEQ7R2Vyb250b3BvbGUsIEluc2VybSBVNTU4IENI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</w:fldData>
        </w:fldChar>
      </w:r>
      <w:r w:rsidR="00A96834">
        <w:rPr>
          <w:rFonts w:asciiTheme="majorBidi" w:hAnsiTheme="majorBidi" w:cstheme="majorBidi"/>
          <w:color w:val="000000"/>
          <w:lang w:val="en-AU"/>
        </w:rPr>
        <w:instrText xml:space="preserve"> ADDIN EN.CITE </w:instrText>
      </w:r>
      <w:r w:rsidR="00A96834">
        <w:rPr>
          <w:rFonts w:asciiTheme="majorBidi" w:hAnsiTheme="majorBidi" w:cstheme="majorBidi"/>
          <w:color w:val="000000"/>
          <w:lang w:val="en-AU"/>
        </w:rPr>
        <w:fldChar w:fldCharType="begin">
          <w:fldData xml:space="preserve">PEVuZE5vdGU+PENpdGU+PEF1dGhvcj5DcnV6LUplbnRvZnQ8L0F1dGhvcj48WWVhcj4yMDEwPC9Z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</w:fldData>
        </w:fldChar>
      </w:r>
      <w:r w:rsidR="00A96834">
        <w:rPr>
          <w:rFonts w:asciiTheme="majorBidi" w:hAnsiTheme="majorBidi" w:cstheme="majorBidi"/>
          <w:color w:val="000000"/>
          <w:lang w:val="en-AU"/>
        </w:rPr>
        <w:instrText xml:space="preserve"> ADDIN EN.CITE.DATA </w:instrText>
      </w:r>
      <w:r w:rsidR="00A96834">
        <w:rPr>
          <w:rFonts w:asciiTheme="majorBidi" w:hAnsiTheme="majorBidi" w:cstheme="majorBidi"/>
          <w:color w:val="000000"/>
          <w:lang w:val="en-AU"/>
        </w:rPr>
      </w:r>
      <w:r w:rsidR="00A96834">
        <w:rPr>
          <w:rFonts w:asciiTheme="majorBidi" w:hAnsiTheme="majorBidi" w:cstheme="majorBidi"/>
          <w:color w:val="000000"/>
          <w:lang w:val="en-AU"/>
        </w:rPr>
        <w:fldChar w:fldCharType="end"/>
      </w:r>
      <w:r w:rsidR="007D3900">
        <w:rPr>
          <w:rFonts w:asciiTheme="majorBidi" w:hAnsiTheme="majorBidi" w:cstheme="majorBidi"/>
          <w:color w:val="000000"/>
          <w:lang w:val="en-AU"/>
        </w:rPr>
      </w:r>
      <w:r w:rsidR="007D3900">
        <w:rPr>
          <w:rFonts w:asciiTheme="majorBidi" w:hAnsiTheme="majorBidi" w:cstheme="majorBidi"/>
          <w:color w:val="000000"/>
          <w:lang w:val="en-AU"/>
        </w:rPr>
        <w:fldChar w:fldCharType="separate"/>
      </w:r>
      <w:r w:rsidR="00A96834">
        <w:rPr>
          <w:rFonts w:asciiTheme="majorBidi" w:hAnsiTheme="majorBidi" w:cstheme="majorBidi"/>
          <w:noProof/>
          <w:color w:val="000000"/>
          <w:lang w:val="en-AU"/>
        </w:rPr>
        <w:t>[22, 33, 34]</w:t>
      </w:r>
      <w:r w:rsidR="007D3900">
        <w:rPr>
          <w:rFonts w:asciiTheme="majorBidi" w:hAnsiTheme="majorBidi" w:cstheme="majorBidi"/>
          <w:color w:val="000000"/>
          <w:lang w:val="en-AU"/>
        </w:rPr>
        <w:fldChar w:fldCharType="end"/>
      </w:r>
      <w:r w:rsidR="007D3900">
        <w:rPr>
          <w:rFonts w:asciiTheme="majorBidi" w:hAnsiTheme="majorBidi" w:cstheme="majorBidi"/>
          <w:color w:val="000000"/>
          <w:lang w:val="en-AU"/>
        </w:rPr>
        <w:t xml:space="preserve">, rather than a separate entity, despite evidence that age-related declines in skeletal muscle mass and strength are only weakly associated </w:t>
      </w:r>
      <w:r w:rsidR="007D3900">
        <w:rPr>
          <w:rFonts w:asciiTheme="majorBidi" w:hAnsiTheme="majorBidi" w:cstheme="majorBidi"/>
          <w:color w:val="000000"/>
          <w:lang w:val="en-AU"/>
        </w:rPr>
        <w:fldChar w:fldCharType="begin"/>
      </w:r>
      <w:r w:rsidR="007D3900">
        <w:rPr>
          <w:rFonts w:asciiTheme="majorBidi" w:hAnsiTheme="majorBidi" w:cstheme="majorBidi"/>
          <w:color w:val="000000"/>
          <w:lang w:val="en-AU"/>
        </w:rPr>
        <w:instrText xml:space="preserve"> ADDIN EN.CITE &lt;EndNote&gt;&lt;Cite&gt;&lt;Author&gt;Clark&lt;/Author&gt;&lt;Year&gt;2008&lt;/Year&gt;&lt;RecNum&gt;619&lt;/RecNum&gt;&lt;DisplayText&gt;[4]&lt;/DisplayText&gt;&lt;record&gt;&lt;rec-number&gt;619&lt;/rec-number&gt;&lt;foreign-keys&gt;&lt;key app="EN" db-id="0szssftsn5vfs8eepaz5ew9hxvx5dsfds9z5" timestamp="0"&gt;619&lt;/key&gt;&lt;/fo</w:instrText>
      </w:r>
      <w:r w:rsidR="007D3900">
        <w:rPr>
          <w:rFonts w:asciiTheme="majorBidi" w:hAnsiTheme="majorBidi" w:cstheme="majorBidi" w:hint="eastAsia"/>
          <w:color w:val="000000"/>
          <w:lang w:val="en-AU"/>
        </w:rPr>
        <w:instrText xml:space="preserve">reign-keys&gt;&lt;ref-type name="Journal Article"&gt;17&lt;/ref-type&gt;&lt;contributors&gt;&lt;authors&gt;&lt;author&gt;Clark, Brian C.&lt;/author&gt;&lt;author&gt;Manini, Todd M.&lt;/author&gt;&lt;/authors&gt;&lt;/contributors&gt;&lt;titles&gt;&lt;title&gt;Sarcopenia </w:instrText>
      </w:r>
      <w:r w:rsidR="007D3900">
        <w:rPr>
          <w:rFonts w:asciiTheme="majorBidi" w:hAnsiTheme="majorBidi" w:cstheme="majorBidi" w:hint="eastAsia"/>
          <w:color w:val="000000"/>
          <w:lang w:val="en-AU"/>
        </w:rPr>
        <w:instrText>≠</w:instrText>
      </w:r>
      <w:r w:rsidR="007D3900">
        <w:rPr>
          <w:rFonts w:asciiTheme="majorBidi" w:hAnsiTheme="majorBidi" w:cstheme="majorBidi" w:hint="eastAsia"/>
          <w:color w:val="000000"/>
          <w:lang w:val="en-AU"/>
        </w:rPr>
        <w:instrText xml:space="preserve"> Dynapenia&lt;/title&gt;&lt;secondary-title&gt;Journals of Gerontology.</w:instrText>
      </w:r>
      <w:r w:rsidR="007D3900">
        <w:rPr>
          <w:rFonts w:asciiTheme="majorBidi" w:hAnsiTheme="majorBidi" w:cstheme="majorBidi"/>
          <w:color w:val="000000"/>
          <w:lang w:val="en-AU"/>
        </w:rPr>
        <w:instrText xml:space="preserve"> Series A, Biological Sciences and Medical Sciences&lt;/secondary-title&gt;&lt;/titles&gt;&lt;periodical&gt;&lt;full-title&gt;Journals of Gerontology. Series A, Biological Sciences and Medical Sciences&lt;/full-title&gt;&lt;abbr-1&gt;J. Gerontol. A. Biol. Sci. Med. Sci.&lt;/abbr-1&gt;&lt;abbr-2&gt;J Gerontol A Biol Sci Med Sci&lt;/abbr-2&gt;&lt;/periodical&gt;&lt;pages&gt;829-834&lt;/pages&gt;&lt;volume&gt;63&lt;/volume&gt;&lt;number&gt;8&lt;/number&gt;&lt;dates&gt;&lt;year&gt;2008&lt;/year&gt;&lt;/dates&gt;&lt;urls&gt;&lt;related-urls&gt;&lt;url&gt;http://biomedgerontology.oxfordjournals.org/content/63/8/829.abstract&lt;/url&gt;&lt;/related-urls&gt;&lt;/urls&gt;&lt;/record&gt;&lt;/Cite&gt;&lt;/EndNote&gt;</w:instrText>
      </w:r>
      <w:r w:rsidR="007D3900">
        <w:rPr>
          <w:rFonts w:asciiTheme="majorBidi" w:hAnsiTheme="majorBidi" w:cstheme="majorBidi"/>
          <w:color w:val="000000"/>
          <w:lang w:val="en-AU"/>
        </w:rPr>
        <w:fldChar w:fldCharType="separate"/>
      </w:r>
      <w:r w:rsidR="007D3900">
        <w:rPr>
          <w:rFonts w:asciiTheme="majorBidi" w:hAnsiTheme="majorBidi" w:cstheme="majorBidi"/>
          <w:noProof/>
          <w:color w:val="000000"/>
          <w:lang w:val="en-AU"/>
        </w:rPr>
        <w:t>[4]</w:t>
      </w:r>
      <w:r w:rsidR="007D3900">
        <w:rPr>
          <w:rFonts w:asciiTheme="majorBidi" w:hAnsiTheme="majorBidi" w:cstheme="majorBidi"/>
          <w:color w:val="000000"/>
          <w:lang w:val="en-AU"/>
        </w:rPr>
        <w:fldChar w:fldCharType="end"/>
      </w:r>
      <w:r w:rsidR="004B4223">
        <w:rPr>
          <w:rFonts w:asciiTheme="majorBidi" w:hAnsiTheme="majorBidi" w:cstheme="majorBidi"/>
          <w:color w:val="000000"/>
          <w:lang w:val="en-AU"/>
        </w:rPr>
        <w:t xml:space="preserve">. </w:t>
      </w:r>
      <w:r w:rsidR="003F66F2">
        <w:rPr>
          <w:rFonts w:asciiTheme="majorBidi" w:hAnsiTheme="majorBidi" w:cstheme="majorBidi"/>
          <w:color w:val="000000"/>
          <w:lang w:val="en-AU"/>
        </w:rPr>
        <w:t xml:space="preserve">It is </w:t>
      </w:r>
      <w:proofErr w:type="spellStart"/>
      <w:r w:rsidR="003F66F2">
        <w:rPr>
          <w:rFonts w:asciiTheme="majorBidi" w:hAnsiTheme="majorBidi" w:cstheme="majorBidi"/>
          <w:color w:val="000000"/>
          <w:lang w:val="en-AU"/>
        </w:rPr>
        <w:t>imperitive</w:t>
      </w:r>
      <w:proofErr w:type="spellEnd"/>
      <w:r w:rsidR="003F66F2">
        <w:rPr>
          <w:rFonts w:asciiTheme="majorBidi" w:hAnsiTheme="majorBidi" w:cstheme="majorBidi"/>
          <w:color w:val="000000"/>
          <w:lang w:val="en-AU"/>
        </w:rPr>
        <w:t xml:space="preserve"> that consensus is achieved on the nature and definition of </w:t>
      </w:r>
      <w:proofErr w:type="spellStart"/>
      <w:r w:rsidR="003F66F2">
        <w:rPr>
          <w:rFonts w:asciiTheme="majorBidi" w:hAnsiTheme="majorBidi" w:cstheme="majorBidi"/>
          <w:color w:val="000000"/>
          <w:lang w:val="en-AU"/>
        </w:rPr>
        <w:t>sarcopenia</w:t>
      </w:r>
      <w:proofErr w:type="spellEnd"/>
      <w:r w:rsidR="003F66F2">
        <w:rPr>
          <w:rFonts w:asciiTheme="majorBidi" w:hAnsiTheme="majorBidi" w:cstheme="majorBidi"/>
          <w:color w:val="000000"/>
          <w:lang w:val="en-AU"/>
        </w:rPr>
        <w:t xml:space="preserve"> and </w:t>
      </w:r>
      <w:proofErr w:type="spellStart"/>
      <w:r w:rsidR="003F66F2">
        <w:rPr>
          <w:rFonts w:asciiTheme="majorBidi" w:hAnsiTheme="majorBidi" w:cstheme="majorBidi"/>
          <w:color w:val="000000"/>
          <w:lang w:val="en-AU"/>
        </w:rPr>
        <w:t>dynapenia</w:t>
      </w:r>
      <w:proofErr w:type="spellEnd"/>
      <w:r w:rsidR="003F66F2">
        <w:rPr>
          <w:rFonts w:asciiTheme="majorBidi" w:hAnsiTheme="majorBidi" w:cstheme="majorBidi"/>
          <w:color w:val="000000"/>
          <w:lang w:val="en-AU"/>
        </w:rPr>
        <w:t>, as f</w:t>
      </w:r>
      <w:r w:rsidRPr="008F2447">
        <w:rPr>
          <w:rFonts w:asciiTheme="majorBidi" w:hAnsiTheme="majorBidi" w:cstheme="majorBidi"/>
          <w:color w:val="000000"/>
          <w:lang w:val="en-AU"/>
        </w:rPr>
        <w:t>uture studies which</w:t>
      </w:r>
      <w:r w:rsidR="003F66F2">
        <w:rPr>
          <w:rFonts w:asciiTheme="majorBidi" w:hAnsiTheme="majorBidi" w:cstheme="majorBidi"/>
          <w:color w:val="000000"/>
          <w:lang w:val="en-AU"/>
        </w:rPr>
        <w:t xml:space="preserve"> continue to</w:t>
      </w:r>
      <w:r w:rsidRPr="008F2447">
        <w:rPr>
          <w:rFonts w:asciiTheme="majorBidi" w:hAnsiTheme="majorBidi" w:cstheme="majorBidi"/>
          <w:color w:val="000000"/>
          <w:lang w:val="en-AU"/>
        </w:rPr>
        <w:t xml:space="preserve"> use different </w:t>
      </w:r>
      <w:r w:rsidRPr="008F2447">
        <w:rPr>
          <w:rFonts w:asciiTheme="majorBidi" w:hAnsiTheme="majorBidi" w:cstheme="majorBidi"/>
          <w:color w:val="000000"/>
          <w:lang w:val="en-AU"/>
        </w:rPr>
        <w:lastRenderedPageBreak/>
        <w:t>definitions of these conditions are likely to observe varying associations with BMD and fracture risk.</w:t>
      </w:r>
      <w:r w:rsidR="002755CF">
        <w:rPr>
          <w:rFonts w:asciiTheme="majorBidi" w:hAnsiTheme="majorBidi" w:cstheme="majorBidi"/>
          <w:color w:val="000000"/>
          <w:lang w:val="en-AU"/>
        </w:rPr>
        <w:t xml:space="preserve"> </w:t>
      </w:r>
    </w:p>
    <w:p w14:paraId="0539C66D" w14:textId="6FD0E30C" w:rsidR="00575EFD" w:rsidRPr="008F2447" w:rsidRDefault="00944A64" w:rsidP="00085326">
      <w:pPr>
        <w:spacing w:line="480" w:lineRule="auto"/>
        <w:rPr>
          <w:rFonts w:asciiTheme="majorBidi" w:hAnsiTheme="majorBidi" w:cstheme="majorBidi"/>
        </w:rPr>
      </w:pPr>
      <w:r w:rsidRPr="008F2447">
        <w:rPr>
          <w:rFonts w:asciiTheme="majorBidi" w:hAnsiTheme="majorBidi" w:cstheme="majorBidi"/>
          <w:color w:val="000000"/>
          <w:lang w:val="en-AU"/>
        </w:rPr>
        <w:tab/>
      </w:r>
      <w:r w:rsidR="00085326">
        <w:rPr>
          <w:rFonts w:asciiTheme="majorBidi" w:hAnsiTheme="majorBidi" w:cstheme="majorBidi"/>
          <w:color w:val="000000"/>
          <w:lang w:val="en-AU"/>
        </w:rPr>
        <w:t>I</w:t>
      </w:r>
      <w:r w:rsidR="00A6061B">
        <w:rPr>
          <w:rFonts w:asciiTheme="majorBidi" w:hAnsiTheme="majorBidi" w:cstheme="majorBidi"/>
          <w:color w:val="000000"/>
          <w:lang w:val="en-AU"/>
        </w:rPr>
        <w:t xml:space="preserve">t should </w:t>
      </w:r>
      <w:r w:rsidR="00085326">
        <w:rPr>
          <w:rFonts w:asciiTheme="majorBidi" w:hAnsiTheme="majorBidi" w:cstheme="majorBidi"/>
          <w:color w:val="000000"/>
          <w:lang w:val="en-AU"/>
        </w:rPr>
        <w:t xml:space="preserve">also </w:t>
      </w:r>
      <w:r w:rsidR="00A6061B">
        <w:rPr>
          <w:rFonts w:asciiTheme="majorBidi" w:hAnsiTheme="majorBidi" w:cstheme="majorBidi"/>
          <w:color w:val="000000"/>
          <w:lang w:val="en-AU"/>
        </w:rPr>
        <w:t xml:space="preserve">be noted that approximately half of participants with </w:t>
      </w:r>
      <w:proofErr w:type="spellStart"/>
      <w:r w:rsidR="00A6061B">
        <w:rPr>
          <w:rFonts w:asciiTheme="majorBidi" w:hAnsiTheme="majorBidi" w:cstheme="majorBidi"/>
          <w:color w:val="000000"/>
          <w:lang w:val="en-AU"/>
        </w:rPr>
        <w:t>sarcopenic</w:t>
      </w:r>
      <w:proofErr w:type="spellEnd"/>
      <w:r w:rsidR="00A6061B">
        <w:rPr>
          <w:rFonts w:asciiTheme="majorBidi" w:hAnsiTheme="majorBidi" w:cstheme="majorBidi"/>
          <w:color w:val="000000"/>
          <w:lang w:val="en-AU"/>
        </w:rPr>
        <w:t xml:space="preserve"> obesity or </w:t>
      </w:r>
      <w:proofErr w:type="spellStart"/>
      <w:r w:rsidR="00A6061B">
        <w:rPr>
          <w:rFonts w:asciiTheme="majorBidi" w:hAnsiTheme="majorBidi" w:cstheme="majorBidi"/>
          <w:color w:val="000000"/>
          <w:lang w:val="en-AU"/>
        </w:rPr>
        <w:t>dynapenic</w:t>
      </w:r>
      <w:proofErr w:type="spellEnd"/>
      <w:r w:rsidR="00A6061B">
        <w:rPr>
          <w:rFonts w:asciiTheme="majorBidi" w:hAnsiTheme="majorBidi" w:cstheme="majorBidi"/>
          <w:color w:val="000000"/>
          <w:lang w:val="en-AU"/>
        </w:rPr>
        <w:t xml:space="preserve"> obesity in this study in fact had both conditions and it is therefore difficult to determine whether one condition alone, or the presence of both conditions, confers the greatest risk for osteoporosis and fracture. </w:t>
      </w:r>
      <w:r w:rsidRPr="008F2447">
        <w:rPr>
          <w:rFonts w:asciiTheme="majorBidi" w:hAnsiTheme="majorBidi" w:cstheme="majorBidi"/>
          <w:color w:val="000000"/>
          <w:lang w:val="en-AU"/>
        </w:rPr>
        <w:t xml:space="preserve">Nevertheless, </w:t>
      </w:r>
      <w:r w:rsidR="00A6061B">
        <w:rPr>
          <w:rFonts w:asciiTheme="majorBidi" w:hAnsiTheme="majorBidi" w:cstheme="majorBidi"/>
          <w:color w:val="000000"/>
          <w:lang w:val="en-AU"/>
        </w:rPr>
        <w:t>our</w:t>
      </w:r>
      <w:r w:rsidR="00A6061B" w:rsidRPr="008F2447">
        <w:rPr>
          <w:rFonts w:asciiTheme="majorBidi" w:hAnsiTheme="majorBidi" w:cstheme="majorBidi"/>
          <w:color w:val="000000"/>
          <w:lang w:val="en-AU"/>
        </w:rPr>
        <w:t xml:space="preserve"> </w:t>
      </w:r>
      <w:r w:rsidR="00A6061B">
        <w:rPr>
          <w:rFonts w:asciiTheme="majorBidi" w:hAnsiTheme="majorBidi" w:cstheme="majorBidi"/>
          <w:color w:val="000000"/>
          <w:lang w:val="en-AU"/>
        </w:rPr>
        <w:t>finding</w:t>
      </w:r>
      <w:r w:rsidRPr="008F2447">
        <w:rPr>
          <w:rFonts w:asciiTheme="majorBidi" w:hAnsiTheme="majorBidi" w:cstheme="majorBidi"/>
          <w:color w:val="000000"/>
          <w:lang w:val="en-AU"/>
        </w:rPr>
        <w:t xml:space="preserve">s indicate that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w:t>
      </w:r>
      <w:r w:rsidR="00A6061B">
        <w:rPr>
          <w:rFonts w:asciiTheme="majorBidi" w:hAnsiTheme="majorBidi" w:cstheme="majorBidi"/>
          <w:color w:val="000000"/>
          <w:lang w:val="en-AU"/>
        </w:rPr>
        <w:t>/or</w:t>
      </w:r>
      <w:r w:rsidRPr="008F2447">
        <w:rPr>
          <w:rFonts w:asciiTheme="majorBidi" w:hAnsiTheme="majorBidi" w:cstheme="majorBidi"/>
          <w:color w:val="000000"/>
          <w:lang w:val="en-AU"/>
        </w:rPr>
        <w:t xml:space="preserve">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older adults are a segment of the obese older adult population who may not benefit from the perceived protective effect of obesity for fracture </w:t>
      </w:r>
      <w:r w:rsidR="008B481D" w:rsidRPr="008F2447">
        <w:rPr>
          <w:rFonts w:asciiTheme="majorBidi" w:hAnsiTheme="majorBidi" w:cstheme="majorBidi"/>
          <w:color w:val="000000"/>
          <w:lang w:val="en-AU"/>
        </w:rPr>
        <w:fldChar w:fldCharType="begin"/>
      </w:r>
      <w:r w:rsidR="00B57F6D">
        <w:rPr>
          <w:rFonts w:asciiTheme="majorBidi" w:hAnsiTheme="majorBidi" w:cstheme="majorBidi"/>
          <w:color w:val="000000"/>
          <w:lang w:val="en-AU"/>
        </w:rPr>
        <w:instrText xml:space="preserve"> ADDIN EN.CITE &lt;EndNote&gt;&lt;Cite&gt;&lt;Author&gt;Nielson&lt;/Author&gt;&lt;Year&gt;2012&lt;/Year&gt;&lt;RecNum&gt;1631&lt;/RecNum&gt;&lt;DisplayText&gt;[9]&lt;/DisplayText&gt;&lt;record&gt;&lt;rec-number&gt;1631&lt;/rec-number&gt;&lt;foreign-keys&gt;&lt;key app="EN" db-id="0szssftsn5vfs8eepaz5ew9hxvx5dsfds9z5" timestamp="1392327695"&gt;1631&lt;/key&gt;&lt;/foreign-keys&gt;&lt;ref-type name="Journal Article"&gt;17&lt;/ref-type&gt;&lt;contributors&gt;&lt;authors&gt;&lt;author&gt;Nielson, Carrie M.&lt;/author&gt;&lt;author&gt;Srikanth, Priya&lt;/author&gt;&lt;author&gt;Orwoll, Eric S.&lt;/author&gt;&lt;/authors&gt;&lt;/contributors&gt;&lt;titles&gt;&lt;title&gt;Obesity and fracture in men and women: An epidemiologic perspective&lt;/title&gt;&lt;secondary-title&gt;Journal of Bone and Mineral Research&lt;/secondary-title&gt;&lt;/titles&gt;&lt;periodical&gt;&lt;full-title&gt;Journal of Bone and Mineral Research&lt;/full-title&gt;&lt;abbr-1&gt;J. Bone Miner. Res.&lt;/abbr-1&gt;&lt;abbr-2&gt;J Bone Miner Res&lt;/abbr-2&gt;&lt;/periodical&gt;&lt;pages&gt;1-10&lt;/pages&gt;&lt;volume&gt;27&lt;/volume&gt;&lt;number&gt;1&lt;/number&gt;&lt;keywords&gt;&lt;keyword&gt;OSTEOPOROSIS&lt;/keyword&gt;&lt;keyword&gt;FRACTURES&lt;/keyword&gt;&lt;keyword&gt;OBESITY&lt;/keyword&gt;&lt;keyword&gt;MEN&lt;/keyword&gt;&lt;/keywords&gt;&lt;dates&gt;&lt;year&gt;2012&lt;/year&gt;&lt;/dates&gt;&lt;publisher&gt;Wiley Subscription Services, Inc., A Wiley Company&lt;/publisher&gt;&lt;isbn&gt;1523-4681&lt;/isbn&gt;&lt;urls&gt;&lt;related-urls&gt;&lt;url&gt;http://dx.doi.org/10.1002/jbmr.1486&lt;/url&gt;&lt;/related-urls&gt;&lt;/urls&gt;&lt;electronic-resource-num&gt;10.1002/jbmr.1486&lt;/electronic-resource-num&gt;&lt;/record&gt;&lt;/Cite&gt;&lt;/EndNote&gt;</w:instrText>
      </w:r>
      <w:r w:rsidR="008B481D" w:rsidRPr="008F2447">
        <w:rPr>
          <w:rFonts w:asciiTheme="majorBidi" w:hAnsiTheme="majorBidi" w:cstheme="majorBidi"/>
          <w:color w:val="000000"/>
          <w:lang w:val="en-AU"/>
        </w:rPr>
        <w:fldChar w:fldCharType="separate"/>
      </w:r>
      <w:r w:rsidR="00B57F6D">
        <w:rPr>
          <w:rFonts w:asciiTheme="majorBidi" w:hAnsiTheme="majorBidi" w:cstheme="majorBidi"/>
          <w:noProof/>
          <w:color w:val="000000"/>
          <w:lang w:val="en-AU"/>
        </w:rPr>
        <w:t>[9]</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 xml:space="preserve">. It is possible that identification of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individuals, and prescription of BMD-enhancing and falls prevention therapies, may reduce the risk of osteoporosis and fracture in the obese older adult population. Targeted multi-modal exercise in particular may be beneficial for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individuals given it has the potential to reduce body fat, and improve muscle mass, strength and bone health </w:t>
      </w:r>
      <w:r w:rsidR="008B481D" w:rsidRPr="008F2447">
        <w:rPr>
          <w:rFonts w:asciiTheme="majorBidi" w:hAnsiTheme="majorBidi" w:cstheme="majorBidi"/>
          <w:color w:val="000000"/>
          <w:lang w:val="en-AU"/>
        </w:rPr>
        <w:fldChar w:fldCharType="begin"/>
      </w:r>
      <w:r w:rsidR="00B57F6D">
        <w:rPr>
          <w:rFonts w:asciiTheme="majorBidi" w:hAnsiTheme="majorBidi" w:cstheme="majorBidi"/>
          <w:color w:val="000000"/>
          <w:lang w:val="en-AU"/>
        </w:rPr>
        <w:instrText xml:space="preserve"> ADDIN EN.CITE &lt;EndNote&gt;&lt;Cite&gt;&lt;Author&gt;Scott&lt;/Author&gt;&lt;Year&gt;2015&lt;/Year&gt;&lt;RecNum&gt;2409&lt;/RecNum&gt;&lt;DisplayText&gt;[5]&lt;/DisplayText&gt;&lt;record&gt;&lt;rec-number&gt;2409&lt;/rec-number&gt;&lt;foreign-keys&gt;&lt;key app="EN" db-id="0szssftsn5vfs8eepaz5ew9hxvx5dsfds9z5" timestamp="1433806769"&gt;2409&lt;/key&gt;&lt;/foreign-keys&gt;&lt;ref-type name="Journal Article"&gt;17&lt;/ref-type&gt;&lt;contributors&gt;&lt;authors&gt;&lt;author&gt;Scott, David&lt;/author&gt;&lt;author&gt;Daly, Robin M&lt;/author&gt;&lt;author&gt;Sanders, Kerrie M&lt;/author&gt;&lt;author&gt;Ebeling, Peter R&lt;/author&gt;&lt;/authors&gt;&lt;/contributors&gt;&lt;titles&gt;&lt;title&gt;Fall and Fracture Risk in Sarcopenia and Dynapenia With and Without Obesity: the Role of Lifestyle Interventions&lt;/title&gt;&lt;secondary-title&gt;Current Osteoporosis Reports&lt;/secondary-title&gt;&lt;/titles&gt;&lt;periodical&gt;&lt;full-title&gt;Current Osteoporosis Reports&lt;/full-title&gt;&lt;abbr-1&gt;Curr. Osteoporos. Rep.&lt;/abbr-1&gt;&lt;abbr-2&gt;Curr Osteoporos Rep&lt;/abbr-2&gt;&lt;/periodical&gt;&lt;pages&gt;235-244&lt;/pages&gt;&lt;volume&gt;13&lt;/volume&gt;&lt;number&gt;4&lt;/number&gt;&lt;dates&gt;&lt;year&gt;2015&lt;/year&gt;&lt;/dates&gt;&lt;isbn&gt;1544-1873&lt;/isbn&gt;&lt;urls&gt;&lt;/urls&gt;&lt;/record&gt;&lt;/Cite&gt;&lt;/EndNote&gt;</w:instrText>
      </w:r>
      <w:r w:rsidR="008B481D" w:rsidRPr="008F2447">
        <w:rPr>
          <w:rFonts w:asciiTheme="majorBidi" w:hAnsiTheme="majorBidi" w:cstheme="majorBidi"/>
          <w:color w:val="000000"/>
          <w:lang w:val="en-AU"/>
        </w:rPr>
        <w:fldChar w:fldCharType="separate"/>
      </w:r>
      <w:r w:rsidR="00B57F6D">
        <w:rPr>
          <w:rFonts w:asciiTheme="majorBidi" w:hAnsiTheme="majorBidi" w:cstheme="majorBidi"/>
          <w:noProof/>
          <w:color w:val="000000"/>
          <w:lang w:val="en-AU"/>
        </w:rPr>
        <w:t>[5]</w:t>
      </w:r>
      <w:r w:rsidR="008B481D" w:rsidRPr="008F2447">
        <w:rPr>
          <w:rFonts w:asciiTheme="majorBidi" w:hAnsiTheme="majorBidi" w:cstheme="majorBidi"/>
          <w:color w:val="000000"/>
          <w:lang w:val="en-AU"/>
        </w:rPr>
        <w:fldChar w:fldCharType="end"/>
      </w:r>
      <w:r w:rsidRPr="008F2447">
        <w:rPr>
          <w:rFonts w:asciiTheme="majorBidi" w:hAnsiTheme="majorBidi" w:cstheme="majorBidi"/>
          <w:color w:val="000000"/>
          <w:lang w:val="en-AU"/>
        </w:rPr>
        <w:t>.</w:t>
      </w:r>
    </w:p>
    <w:p w14:paraId="147DED09" w14:textId="692D27B2" w:rsidR="00CE1EE4" w:rsidRDefault="00944A64">
      <w:pPr>
        <w:spacing w:line="480" w:lineRule="auto"/>
        <w:rPr>
          <w:rFonts w:asciiTheme="majorBidi" w:hAnsiTheme="majorBidi" w:cstheme="majorBidi"/>
          <w:color w:val="000000"/>
          <w:lang w:val="en-AU"/>
        </w:rPr>
      </w:pPr>
      <w:r w:rsidRPr="008F2447">
        <w:rPr>
          <w:rFonts w:asciiTheme="majorBidi" w:hAnsiTheme="majorBidi" w:cstheme="majorBidi"/>
          <w:color w:val="000000"/>
          <w:lang w:val="en-AU"/>
        </w:rPr>
        <w:tab/>
        <w:t xml:space="preserve">In conclusion,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older adults may have an increased risk of osteoporosis and </w:t>
      </w:r>
      <w:r w:rsidR="00530174">
        <w:rPr>
          <w:rFonts w:asciiTheme="majorBidi" w:hAnsiTheme="majorBidi" w:cstheme="majorBidi"/>
          <w:color w:val="000000"/>
          <w:lang w:val="en-AU"/>
        </w:rPr>
        <w:t xml:space="preserve">incident non-vertebral </w:t>
      </w:r>
      <w:r w:rsidRPr="008F2447">
        <w:rPr>
          <w:rFonts w:asciiTheme="majorBidi" w:hAnsiTheme="majorBidi" w:cstheme="majorBidi"/>
          <w:color w:val="000000"/>
          <w:lang w:val="en-AU"/>
        </w:rPr>
        <w:t xml:space="preserve">fracture relative to obese alone older adults. </w:t>
      </w:r>
      <w:proofErr w:type="spellStart"/>
      <w:r w:rsidRPr="008F2447">
        <w:rPr>
          <w:rFonts w:asciiTheme="majorBidi" w:hAnsiTheme="majorBidi" w:cstheme="majorBidi"/>
          <w:color w:val="000000"/>
          <w:lang w:val="en-AU"/>
        </w:rPr>
        <w:t>Sarcopenic</w:t>
      </w:r>
      <w:proofErr w:type="spellEnd"/>
      <w:r w:rsidRPr="008F2447">
        <w:rPr>
          <w:rFonts w:asciiTheme="majorBidi" w:hAnsiTheme="majorBidi" w:cstheme="majorBidi"/>
          <w:color w:val="000000"/>
          <w:lang w:val="en-AU"/>
        </w:rPr>
        <w:t xml:space="preserve"> and </w:t>
      </w:r>
      <w:proofErr w:type="spellStart"/>
      <w:r w:rsidRPr="008F2447">
        <w:rPr>
          <w:rFonts w:asciiTheme="majorBidi" w:hAnsiTheme="majorBidi" w:cstheme="majorBidi"/>
          <w:color w:val="000000"/>
          <w:lang w:val="en-AU"/>
        </w:rPr>
        <w:t>dynapenic</w:t>
      </w:r>
      <w:proofErr w:type="spellEnd"/>
      <w:r w:rsidRPr="008F2447">
        <w:rPr>
          <w:rFonts w:asciiTheme="majorBidi" w:hAnsiTheme="majorBidi" w:cstheme="majorBidi"/>
          <w:color w:val="000000"/>
          <w:lang w:val="en-AU"/>
        </w:rPr>
        <w:t xml:space="preserve"> obese individuals potentially represent a subset of the obese older adult population who require closer monitoring of bone health during ageing.</w:t>
      </w:r>
    </w:p>
    <w:p w14:paraId="3DFB36E8" w14:textId="77777777" w:rsidR="00CE1EE4" w:rsidRDefault="00CE1EE4">
      <w:pPr>
        <w:rPr>
          <w:rFonts w:asciiTheme="majorBidi" w:hAnsiTheme="majorBidi" w:cstheme="majorBidi"/>
          <w:color w:val="000000"/>
          <w:lang w:val="en-AU"/>
        </w:rPr>
      </w:pPr>
      <w:r>
        <w:rPr>
          <w:rFonts w:asciiTheme="majorBidi" w:hAnsiTheme="majorBidi" w:cstheme="majorBidi"/>
          <w:color w:val="000000"/>
          <w:lang w:val="en-AU"/>
        </w:rPr>
        <w:br w:type="page"/>
      </w:r>
    </w:p>
    <w:p w14:paraId="69762471" w14:textId="77777777" w:rsidR="00575EFD" w:rsidRDefault="00877322">
      <w:pPr>
        <w:spacing w:line="480" w:lineRule="auto"/>
        <w:rPr>
          <w:rFonts w:asciiTheme="majorBidi" w:hAnsiTheme="majorBidi" w:cstheme="majorBidi"/>
        </w:rPr>
      </w:pPr>
      <w:r>
        <w:rPr>
          <w:rFonts w:asciiTheme="majorBidi" w:hAnsiTheme="majorBidi" w:cstheme="majorBidi"/>
          <w:b/>
          <w:bCs/>
        </w:rPr>
        <w:lastRenderedPageBreak/>
        <w:t xml:space="preserve">Conflict of Interest: </w:t>
      </w:r>
      <w:r w:rsidR="00B30E57" w:rsidRPr="00B30E57">
        <w:rPr>
          <w:rFonts w:asciiTheme="majorBidi" w:hAnsiTheme="majorBidi" w:cstheme="majorBidi"/>
        </w:rPr>
        <w:t xml:space="preserve">David Scott, </w:t>
      </w:r>
      <w:proofErr w:type="spellStart"/>
      <w:r w:rsidR="00B30E57" w:rsidRPr="00B30E57">
        <w:rPr>
          <w:rFonts w:asciiTheme="majorBidi" w:hAnsiTheme="majorBidi" w:cstheme="majorBidi"/>
        </w:rPr>
        <w:t>Sahan</w:t>
      </w:r>
      <w:proofErr w:type="spellEnd"/>
      <w:r w:rsidR="00B30E57" w:rsidRPr="00B30E57">
        <w:rPr>
          <w:rFonts w:asciiTheme="majorBidi" w:hAnsiTheme="majorBidi" w:cstheme="majorBidi"/>
        </w:rPr>
        <w:t xml:space="preserve"> D </w:t>
      </w:r>
      <w:proofErr w:type="spellStart"/>
      <w:r w:rsidR="00B30E57" w:rsidRPr="00B30E57">
        <w:rPr>
          <w:rFonts w:asciiTheme="majorBidi" w:hAnsiTheme="majorBidi" w:cstheme="majorBidi"/>
        </w:rPr>
        <w:t>Chandrasekara</w:t>
      </w:r>
      <w:proofErr w:type="spellEnd"/>
      <w:r w:rsidR="00B30E57" w:rsidRPr="00B30E57">
        <w:rPr>
          <w:rFonts w:asciiTheme="majorBidi" w:hAnsiTheme="majorBidi" w:cstheme="majorBidi"/>
        </w:rPr>
        <w:t xml:space="preserve">, Laura L Laslett, Flavia </w:t>
      </w:r>
      <w:proofErr w:type="spellStart"/>
      <w:r w:rsidR="00B30E57" w:rsidRPr="00B30E57">
        <w:rPr>
          <w:rFonts w:asciiTheme="majorBidi" w:hAnsiTheme="majorBidi" w:cstheme="majorBidi"/>
        </w:rPr>
        <w:t>Cicuttini</w:t>
      </w:r>
      <w:proofErr w:type="spellEnd"/>
      <w:r w:rsidR="00B30E57" w:rsidRPr="00B30E57">
        <w:rPr>
          <w:rFonts w:asciiTheme="majorBidi" w:hAnsiTheme="majorBidi" w:cstheme="majorBidi"/>
        </w:rPr>
        <w:t xml:space="preserve">, </w:t>
      </w:r>
      <w:r w:rsidR="00C851F1" w:rsidRPr="00B30E57">
        <w:rPr>
          <w:rFonts w:asciiTheme="majorBidi" w:hAnsiTheme="majorBidi" w:cstheme="majorBidi"/>
        </w:rPr>
        <w:t xml:space="preserve">Peter R </w:t>
      </w:r>
      <w:proofErr w:type="spellStart"/>
      <w:r w:rsidR="00C851F1" w:rsidRPr="00B30E57">
        <w:rPr>
          <w:rFonts w:asciiTheme="majorBidi" w:hAnsiTheme="majorBidi" w:cstheme="majorBidi"/>
        </w:rPr>
        <w:t>Ebeling</w:t>
      </w:r>
      <w:proofErr w:type="spellEnd"/>
      <w:r w:rsidR="00C851F1" w:rsidRPr="00B30E57">
        <w:rPr>
          <w:rFonts w:asciiTheme="majorBidi" w:hAnsiTheme="majorBidi" w:cstheme="majorBidi"/>
        </w:rPr>
        <w:t xml:space="preserve"> and </w:t>
      </w:r>
      <w:r w:rsidR="00B30E57" w:rsidRPr="00B30E57">
        <w:rPr>
          <w:rFonts w:asciiTheme="majorBidi" w:hAnsiTheme="majorBidi" w:cstheme="majorBidi"/>
        </w:rPr>
        <w:t>Graeme Jones declare that they have no conflict of interest</w:t>
      </w:r>
      <w:r w:rsidR="00B30E57">
        <w:rPr>
          <w:rFonts w:asciiTheme="majorBidi" w:hAnsiTheme="majorBidi" w:cstheme="majorBidi"/>
        </w:rPr>
        <w:t>.</w:t>
      </w:r>
    </w:p>
    <w:p w14:paraId="7460EBCC" w14:textId="77777777" w:rsidR="00877322" w:rsidRDefault="00877322">
      <w:pPr>
        <w:spacing w:line="480" w:lineRule="auto"/>
        <w:rPr>
          <w:rFonts w:asciiTheme="majorBidi" w:hAnsiTheme="majorBidi" w:cstheme="majorBidi"/>
          <w:b/>
          <w:bCs/>
        </w:rPr>
      </w:pPr>
    </w:p>
    <w:p w14:paraId="4542EEC4" w14:textId="77777777" w:rsidR="00877322" w:rsidRPr="00877322" w:rsidRDefault="00877322" w:rsidP="00877322">
      <w:pPr>
        <w:spacing w:line="480" w:lineRule="auto"/>
        <w:rPr>
          <w:rFonts w:asciiTheme="majorBidi" w:hAnsiTheme="majorBidi" w:cstheme="majorBidi"/>
        </w:rPr>
      </w:pPr>
      <w:r w:rsidRPr="00877322">
        <w:rPr>
          <w:rFonts w:asciiTheme="majorBidi" w:hAnsiTheme="majorBidi" w:cstheme="majorBidi"/>
          <w:b/>
          <w:bCs/>
        </w:rPr>
        <w:t xml:space="preserve">Ethical approval: </w:t>
      </w:r>
      <w:r>
        <w:rPr>
          <w:rFonts w:asciiTheme="majorBidi" w:hAnsiTheme="majorBidi" w:cstheme="majorBidi"/>
        </w:rPr>
        <w:t xml:space="preserve">All procedures performed in this study involving human participants were in accordance with the ethical standards of the institutional research committee and with the 1964 Helsinki declaration and its later </w:t>
      </w:r>
      <w:proofErr w:type="spellStart"/>
      <w:r>
        <w:rPr>
          <w:rFonts w:asciiTheme="majorBidi" w:hAnsiTheme="majorBidi" w:cstheme="majorBidi"/>
        </w:rPr>
        <w:t>amedments</w:t>
      </w:r>
      <w:proofErr w:type="spellEnd"/>
      <w:r>
        <w:rPr>
          <w:rFonts w:asciiTheme="majorBidi" w:hAnsiTheme="majorBidi" w:cstheme="majorBidi"/>
        </w:rPr>
        <w:t xml:space="preserve"> or comparable ethical standards. Written informed consent was obtained from all participants.</w:t>
      </w:r>
    </w:p>
    <w:p w14:paraId="33CEA035" w14:textId="77777777" w:rsidR="00575EFD" w:rsidRPr="008F2447" w:rsidRDefault="00575EFD">
      <w:pPr>
        <w:spacing w:line="480" w:lineRule="auto"/>
        <w:rPr>
          <w:rFonts w:asciiTheme="majorBidi" w:hAnsiTheme="majorBidi" w:cstheme="majorBidi"/>
        </w:rPr>
      </w:pPr>
    </w:p>
    <w:p w14:paraId="18E4E447" w14:textId="77777777" w:rsidR="00575EFD" w:rsidRPr="008F2447" w:rsidRDefault="00944A64">
      <w:pPr>
        <w:rPr>
          <w:rFonts w:asciiTheme="majorBidi" w:hAnsiTheme="majorBidi" w:cstheme="majorBidi"/>
        </w:rPr>
      </w:pPr>
      <w:r w:rsidRPr="008F2447">
        <w:rPr>
          <w:rFonts w:asciiTheme="majorBidi" w:hAnsiTheme="majorBidi" w:cstheme="majorBidi"/>
        </w:rPr>
        <w:br w:type="page"/>
      </w:r>
    </w:p>
    <w:p w14:paraId="20163529" w14:textId="77777777" w:rsidR="00575EFD" w:rsidRPr="008F2447" w:rsidRDefault="00944A64">
      <w:pPr>
        <w:spacing w:line="480" w:lineRule="auto"/>
        <w:rPr>
          <w:rFonts w:asciiTheme="majorBidi" w:hAnsiTheme="majorBidi" w:cstheme="majorBidi"/>
        </w:rPr>
      </w:pPr>
      <w:r w:rsidRPr="008F2447">
        <w:rPr>
          <w:rFonts w:asciiTheme="majorBidi" w:hAnsiTheme="majorBidi" w:cstheme="majorBidi"/>
          <w:b/>
          <w:bCs/>
        </w:rPr>
        <w:lastRenderedPageBreak/>
        <w:t>References</w:t>
      </w:r>
    </w:p>
    <w:p w14:paraId="0A025C1D" w14:textId="77777777" w:rsidR="00A96834" w:rsidRPr="00444CAD" w:rsidRDefault="008B481D" w:rsidP="00444CAD">
      <w:pPr>
        <w:pStyle w:val="EndNoteBibliography"/>
        <w:spacing w:line="480" w:lineRule="auto"/>
        <w:rPr>
          <w:rFonts w:ascii="Times New Roman" w:hAnsi="Times New Roman" w:cs="Times New Roman"/>
        </w:rPr>
      </w:pPr>
      <w:r w:rsidRPr="00444CAD">
        <w:rPr>
          <w:rFonts w:ascii="Times New Roman" w:hAnsi="Times New Roman" w:cs="Times New Roman"/>
          <w:b/>
          <w:bCs/>
        </w:rPr>
        <w:fldChar w:fldCharType="begin"/>
      </w:r>
      <w:r w:rsidR="00944A64" w:rsidRPr="00444CAD">
        <w:rPr>
          <w:rFonts w:ascii="Times New Roman" w:hAnsi="Times New Roman" w:cs="Times New Roman"/>
          <w:b/>
          <w:bCs/>
        </w:rPr>
        <w:instrText xml:space="preserve"> ADDIN EN.REFLIST </w:instrText>
      </w:r>
      <w:r w:rsidRPr="00444CAD">
        <w:rPr>
          <w:rFonts w:ascii="Times New Roman" w:hAnsi="Times New Roman" w:cs="Times New Roman"/>
          <w:b/>
          <w:bCs/>
        </w:rPr>
        <w:fldChar w:fldCharType="separate"/>
      </w:r>
      <w:r w:rsidR="00A96834" w:rsidRPr="00444CAD">
        <w:rPr>
          <w:rFonts w:ascii="Times New Roman" w:hAnsi="Times New Roman" w:cs="Times New Roman"/>
        </w:rPr>
        <w:t>1.</w:t>
      </w:r>
      <w:r w:rsidR="00A96834" w:rsidRPr="00444CAD">
        <w:rPr>
          <w:rFonts w:ascii="Times New Roman" w:hAnsi="Times New Roman" w:cs="Times New Roman"/>
        </w:rPr>
        <w:tab/>
        <w:t>Rosenberg IH (1989) Summary comments. Am J Clin Nutr 50:1231-1233</w:t>
      </w:r>
    </w:p>
    <w:p w14:paraId="38875D56"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w:t>
      </w:r>
      <w:r w:rsidRPr="00444CAD">
        <w:rPr>
          <w:rFonts w:ascii="Times New Roman" w:hAnsi="Times New Roman" w:cs="Times New Roman"/>
        </w:rPr>
        <w:tab/>
        <w:t>Delmonico MJ, Harris TB, Visser M, et al. (2009) Longitudinal study of muscle strength, quality, and adipose tissue infiltration. Am J Clin Nutr 90:1579-1585</w:t>
      </w:r>
    </w:p>
    <w:p w14:paraId="315FECD0"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3.</w:t>
      </w:r>
      <w:r w:rsidRPr="00444CAD">
        <w:rPr>
          <w:rFonts w:ascii="Times New Roman" w:hAnsi="Times New Roman" w:cs="Times New Roman"/>
        </w:rPr>
        <w:tab/>
        <w:t>Visser M, Schaap LA (2011) Consequences of Sarcopenia. Clin Geriatr Med 27:387-399</w:t>
      </w:r>
    </w:p>
    <w:p w14:paraId="2D1C55D0"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4.</w:t>
      </w:r>
      <w:r w:rsidRPr="00444CAD">
        <w:rPr>
          <w:rFonts w:ascii="Times New Roman" w:hAnsi="Times New Roman" w:cs="Times New Roman"/>
        </w:rPr>
        <w:tab/>
        <w:t>Clark BC, Manini TM (2008) Sarcopenia ≠ Dynapenia. J Gerontol A Biol Sci Med Sci 63:829-834</w:t>
      </w:r>
    </w:p>
    <w:p w14:paraId="45247C67"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5.</w:t>
      </w:r>
      <w:r w:rsidRPr="00444CAD">
        <w:rPr>
          <w:rFonts w:ascii="Times New Roman" w:hAnsi="Times New Roman" w:cs="Times New Roman"/>
        </w:rPr>
        <w:tab/>
        <w:t>Scott D, Daly RM, Sanders KM, Ebeling PR (2015) Fall and Fracture Risk in Sarcopenia and Dynapenia With and Without Obesity: the Role of Lifestyle Interventions. Curr Osteoporos Rep 13:235-244</w:t>
      </w:r>
    </w:p>
    <w:p w14:paraId="29160EEF"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6.</w:t>
      </w:r>
      <w:r w:rsidRPr="00444CAD">
        <w:rPr>
          <w:rFonts w:ascii="Times New Roman" w:hAnsi="Times New Roman" w:cs="Times New Roman"/>
        </w:rPr>
        <w:tab/>
        <w:t>Edwards MH, Gregson CL, Patel HP, Jameson KA, Harvey NC, Sayer AA, Dennison EM, Cooper C (2013) Muscle size, strength and physical performance and their associations with bone structure in the Hertfordshire Cohort Study. J Bone Miner Res 28:2295-2304</w:t>
      </w:r>
    </w:p>
    <w:p w14:paraId="4871A37A"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7.</w:t>
      </w:r>
      <w:r w:rsidRPr="00444CAD">
        <w:rPr>
          <w:rFonts w:ascii="Times New Roman" w:hAnsi="Times New Roman" w:cs="Times New Roman"/>
        </w:rPr>
        <w:tab/>
        <w:t>Mitchell RJ, Lord SR, Harvey LA, Close JC (2014) Associations between obesity and overweight and fall risk, health status and quality of life in older people. Aust N Z J Public Health 38:13-18</w:t>
      </w:r>
    </w:p>
    <w:p w14:paraId="680441A3"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8.</w:t>
      </w:r>
      <w:r w:rsidRPr="00444CAD">
        <w:rPr>
          <w:rFonts w:ascii="Times New Roman" w:hAnsi="Times New Roman" w:cs="Times New Roman"/>
        </w:rPr>
        <w:tab/>
        <w:t>Compston JE, Watts NB, Chapurlat R, Cooper C, Boonen S, Greenspan S, Pfeilschifter J, Silverman S, Díez-Pérez A, Lindsay R (2011) Obesity is not protective against fracture in postmenopausal women: GLOW. Am J Med 124:1043-1050</w:t>
      </w:r>
    </w:p>
    <w:p w14:paraId="51CA987A"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9.</w:t>
      </w:r>
      <w:r w:rsidRPr="00444CAD">
        <w:rPr>
          <w:rFonts w:ascii="Times New Roman" w:hAnsi="Times New Roman" w:cs="Times New Roman"/>
        </w:rPr>
        <w:tab/>
        <w:t>Nielson CM, Srikanth P, Orwoll ES (2012) Obesity and fracture in men and women: An epidemiologic perspective. J Bone Miner Res 27:1-10</w:t>
      </w:r>
    </w:p>
    <w:p w14:paraId="45BF255A"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10.</w:t>
      </w:r>
      <w:r w:rsidRPr="00444CAD">
        <w:rPr>
          <w:rFonts w:ascii="Times New Roman" w:hAnsi="Times New Roman" w:cs="Times New Roman"/>
        </w:rPr>
        <w:tab/>
        <w:t>Waters D, Hale L, Grant A, Herbison P, Goulding A (2010) Osteoporosis and gait and balance disturbances in older sarcopenic obese New Zealanders. Osteoporos Int 21:351-357</w:t>
      </w:r>
    </w:p>
    <w:p w14:paraId="3E9125CB"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lastRenderedPageBreak/>
        <w:t>11.</w:t>
      </w:r>
      <w:r w:rsidRPr="00444CAD">
        <w:rPr>
          <w:rFonts w:ascii="Times New Roman" w:hAnsi="Times New Roman" w:cs="Times New Roman"/>
        </w:rPr>
        <w:tab/>
        <w:t>Scott D, Sanders K, Aitken D, Hayes A, Ebeling PR, Jones G (2014) Sarcopenic obesity and dynapenic obesity: 5-year associations with falls risk in middle-aged and older adults. Obesity 22:1568-1574</w:t>
      </w:r>
    </w:p>
    <w:p w14:paraId="49326C3C"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12.</w:t>
      </w:r>
      <w:r w:rsidRPr="00444CAD">
        <w:rPr>
          <w:rFonts w:ascii="Times New Roman" w:hAnsi="Times New Roman" w:cs="Times New Roman"/>
        </w:rPr>
        <w:tab/>
        <w:t>Scott D, Blizzard L, Fell J, Jones G (2012) Prospective study of self-reported pain, radiographic osteoarthritis, sarcopenia progression, and falls risk in community-dwelling older adults. Arthritis Care Res 64:30-37</w:t>
      </w:r>
    </w:p>
    <w:p w14:paraId="6A51F771"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13.</w:t>
      </w:r>
      <w:r w:rsidRPr="00444CAD">
        <w:rPr>
          <w:rFonts w:ascii="Times New Roman" w:hAnsi="Times New Roman" w:cs="Times New Roman"/>
        </w:rPr>
        <w:tab/>
        <w:t>Hodge A, Patterson AJ, Brown WJ, Ireland P, Giles G (2000) The Anti Cancer Council of Victoria FFQ: Relative validity of nutrient intakes compared with weighed food records in young to middle-aged women in a study of iron supplementation. Aust N Z J Public Health 24:576-583</w:t>
      </w:r>
    </w:p>
    <w:p w14:paraId="2AC20CD5"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14.</w:t>
      </w:r>
      <w:r w:rsidRPr="00444CAD">
        <w:rPr>
          <w:rFonts w:ascii="Times New Roman" w:hAnsi="Times New Roman" w:cs="Times New Roman"/>
        </w:rPr>
        <w:tab/>
        <w:t>Scott D, Blizzard L, Fell J, Jones G (2009) Ambulatory activity, body composition and lower-limb muscle strength in older adults. Med Sci Sports Exerc 41:383-389</w:t>
      </w:r>
    </w:p>
    <w:p w14:paraId="6D1A433E"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15.</w:t>
      </w:r>
      <w:r w:rsidRPr="00444CAD">
        <w:rPr>
          <w:rFonts w:ascii="Times New Roman" w:hAnsi="Times New Roman" w:cs="Times New Roman"/>
        </w:rPr>
        <w:tab/>
        <w:t>Scott D, Blizzard L, Fell J, Jones G (2011) Prospective associations between ambulatory activity, body composition and muscle function in older adults. Scand J Med Sci Sports 21:e168-e175</w:t>
      </w:r>
    </w:p>
    <w:p w14:paraId="46DE01BC"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16.</w:t>
      </w:r>
      <w:r w:rsidRPr="00444CAD">
        <w:rPr>
          <w:rFonts w:ascii="Times New Roman" w:hAnsi="Times New Roman" w:cs="Times New Roman"/>
        </w:rPr>
        <w:tab/>
        <w:t>Lord SR, Menz HB, Tiedemann A (2003) A physiological profile approach to falls risk assessment and prevention. Phys Ther 83:237-252</w:t>
      </w:r>
    </w:p>
    <w:p w14:paraId="6D86D076"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17.</w:t>
      </w:r>
      <w:r w:rsidRPr="00444CAD">
        <w:rPr>
          <w:rFonts w:ascii="Times New Roman" w:hAnsi="Times New Roman" w:cs="Times New Roman"/>
        </w:rPr>
        <w:tab/>
        <w:t>Foley S, Quinn S, Jones G (2010) Pedometer determined ambulatory activity and bone mass: a population-based longitudinal study in older adults. Osteoporos Int 21:1809-1816</w:t>
      </w:r>
    </w:p>
    <w:p w14:paraId="3ABD0D5F"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18.</w:t>
      </w:r>
      <w:r w:rsidRPr="00444CAD">
        <w:rPr>
          <w:rFonts w:ascii="Times New Roman" w:hAnsi="Times New Roman" w:cs="Times New Roman"/>
        </w:rPr>
        <w:tab/>
        <w:t>Kanis J, Johnell O, Oden A, Jonsson B, De Laet C, Dawson A (2000) Risk of hip fracture according to the World Health Organization criteria for osteopenia and osteoporosis. Bone 27:585-590</w:t>
      </w:r>
    </w:p>
    <w:p w14:paraId="23729703"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lastRenderedPageBreak/>
        <w:t>19.</w:t>
      </w:r>
      <w:r w:rsidRPr="00444CAD">
        <w:rPr>
          <w:rFonts w:ascii="Times New Roman" w:hAnsi="Times New Roman" w:cs="Times New Roman"/>
        </w:rPr>
        <w:tab/>
        <w:t>Newman AB, Kupelian V, Visser M, Simonsick E, Goodpaster B, Nevitt M, Kritchevsky SB, Tylavsky FA, Rubin SM, Harris TB (2003) Sarcopenia: alternative definitions and associations with lower extremity function. J Am Geriatr Soc 51:1602-1609</w:t>
      </w:r>
    </w:p>
    <w:p w14:paraId="7C7F0CA2"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20.</w:t>
      </w:r>
      <w:r w:rsidRPr="00444CAD">
        <w:rPr>
          <w:rFonts w:ascii="Times New Roman" w:hAnsi="Times New Roman" w:cs="Times New Roman"/>
        </w:rPr>
        <w:tab/>
        <w:t>Bouchard DR, Janssen I (2010) Dynapenic-obesity and physical function in older adults. J Gerontol A Biol Sci Med Sci 65:71-77</w:t>
      </w:r>
    </w:p>
    <w:p w14:paraId="0CAC90DE"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21.</w:t>
      </w:r>
      <w:r w:rsidRPr="00444CAD">
        <w:rPr>
          <w:rFonts w:ascii="Times New Roman" w:hAnsi="Times New Roman" w:cs="Times New Roman"/>
        </w:rPr>
        <w:tab/>
        <w:t>Sénéchal M, Dionne IJ, Brochu M (2012) Dynapenic abdominal obesity and metabolic risk factors in adults 50 years of age and older. J Aging Health 24:812-826</w:t>
      </w:r>
    </w:p>
    <w:p w14:paraId="3BD615B6"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22.</w:t>
      </w:r>
      <w:r w:rsidRPr="00444CAD">
        <w:rPr>
          <w:rFonts w:ascii="Times New Roman" w:hAnsi="Times New Roman" w:cs="Times New Roman"/>
        </w:rPr>
        <w:tab/>
        <w:t>Cruz-Jentoft AJ, Baeyens JP, Bauer JM, et al. (2010) Sarcopenia: European consensus on definition and diagnosis: Report of the European Working Group on Sarcopenia in Older People. Age Ageing 39:412-423</w:t>
      </w:r>
    </w:p>
    <w:p w14:paraId="747269A2"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23.</w:t>
      </w:r>
      <w:r w:rsidRPr="00444CAD">
        <w:rPr>
          <w:rFonts w:ascii="Times New Roman" w:hAnsi="Times New Roman" w:cs="Times New Roman"/>
        </w:rPr>
        <w:tab/>
        <w:t>Aubertin-Leheudre M, Lord C, Labonté M, Khalil A, Dionne IJ (2008) Relationship between sarcopenia and fracture risks in obese postmenopausal women. J Women Aging 20:297-308</w:t>
      </w:r>
    </w:p>
    <w:p w14:paraId="3A3B60E7"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24.</w:t>
      </w:r>
      <w:r w:rsidRPr="00444CAD">
        <w:rPr>
          <w:rFonts w:ascii="Times New Roman" w:hAnsi="Times New Roman" w:cs="Times New Roman"/>
        </w:rPr>
        <w:tab/>
        <w:t>He H, Liu Y, Tian Q, Papasian C, Hu T, Deng H-W (2015) Relationship of sarcopenia and body composition with osteoporosis. Osteoporos Int 1-10</w:t>
      </w:r>
    </w:p>
    <w:p w14:paraId="0570AF5E"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25.</w:t>
      </w:r>
      <w:r w:rsidRPr="00444CAD">
        <w:rPr>
          <w:rFonts w:ascii="Times New Roman" w:hAnsi="Times New Roman" w:cs="Times New Roman"/>
        </w:rPr>
        <w:tab/>
        <w:t>Edwards MH, Ward KA, Ntani G, Parsons C, Thompson J, Sayer AA, Dennison EM, Cooper C (2015) Lean mass and fat mass have differing associations with bone microarchitecture assessed by high resolution peripheral quantitative computed tomography in men and women from the Hertfordshire Cohort Study. Bone 81:145-151</w:t>
      </w:r>
    </w:p>
    <w:p w14:paraId="26531752"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26.</w:t>
      </w:r>
      <w:r w:rsidRPr="00444CAD">
        <w:rPr>
          <w:rFonts w:ascii="Times New Roman" w:hAnsi="Times New Roman" w:cs="Times New Roman"/>
        </w:rPr>
        <w:tab/>
        <w:t>Sornay-Rendu E, Boutroy S, Vilayphiou N, Claustrat B, Chapurlat RD (2013) In obese postmenopausal women, bone microarchitecture and strength are not commensurate to greater body weight: the Os des Femmes de Lyon (OFELY) study. J Bone Miner Res 28:1679-1687</w:t>
      </w:r>
    </w:p>
    <w:p w14:paraId="30210730"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lastRenderedPageBreak/>
        <w:t>27.</w:t>
      </w:r>
      <w:r w:rsidRPr="00444CAD">
        <w:rPr>
          <w:rFonts w:ascii="Times New Roman" w:hAnsi="Times New Roman" w:cs="Times New Roman"/>
        </w:rPr>
        <w:tab/>
        <w:t xml:space="preserve">Horstman AM, Dillon EL, Urban RJ, Sheffield-Moore M (2012) The role of androgens and estrogens on healthy aging and longevity. The Journals of Gerontology Series A: Biological Sciences and Medical Sciences </w:t>
      </w:r>
    </w:p>
    <w:p w14:paraId="56E4952B"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28.</w:t>
      </w:r>
      <w:r w:rsidRPr="00444CAD">
        <w:rPr>
          <w:rFonts w:ascii="Times New Roman" w:hAnsi="Times New Roman" w:cs="Times New Roman"/>
        </w:rPr>
        <w:tab/>
        <w:t>Yang M, Jiang J, Hao Q, Luo L, Dong B (2015) Dynapenic obesity and lower extremity function in elderly adults. J Am Med Dir Assoc 16:31-36</w:t>
      </w:r>
    </w:p>
    <w:p w14:paraId="7834F493"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29.</w:t>
      </w:r>
      <w:r w:rsidRPr="00444CAD">
        <w:rPr>
          <w:rFonts w:ascii="Times New Roman" w:hAnsi="Times New Roman" w:cs="Times New Roman"/>
        </w:rPr>
        <w:tab/>
        <w:t>Chalhoub D, Cawthon PM, Ensrud KE, et al. (2015) Risk of Nonspine Fractures in Older Adults with Sarcopenia, Low Bone Mass, or Both. J Am Geriatr Soc 63:1733-1740</w:t>
      </w:r>
    </w:p>
    <w:p w14:paraId="4D6509CB"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30.</w:t>
      </w:r>
      <w:r w:rsidRPr="00444CAD">
        <w:rPr>
          <w:rFonts w:ascii="Times New Roman" w:hAnsi="Times New Roman" w:cs="Times New Roman"/>
        </w:rPr>
        <w:tab/>
        <w:t>Scott D, Hayes A, Sanders KM, Aitken D, Ebeling PR, Jones G (2014) Operational definitions of sarcopenia and their associations with 5-year changes in falls risk in community-dwelling middle-aged and older adults. Osteoporos Int 25:187-193</w:t>
      </w:r>
    </w:p>
    <w:p w14:paraId="1F75E511"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31.</w:t>
      </w:r>
      <w:r w:rsidRPr="00444CAD">
        <w:rPr>
          <w:rFonts w:ascii="Times New Roman" w:hAnsi="Times New Roman" w:cs="Times New Roman"/>
        </w:rPr>
        <w:tab/>
        <w:t>Andersen S, Frederiksen KD, Hansen S, Brixen K, Gram J, Støving RK (2014) Bone Structure and Estimated Bone Strength in Obese Patients Evaluated by High-Resolution Peripheral Quantitative Computed Tomography. Calcif Tissue Int 95:19-28</w:t>
      </w:r>
    </w:p>
    <w:p w14:paraId="1C66FBDF"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32.</w:t>
      </w:r>
      <w:r w:rsidRPr="00444CAD">
        <w:rPr>
          <w:rFonts w:ascii="Times New Roman" w:hAnsi="Times New Roman" w:cs="Times New Roman"/>
        </w:rPr>
        <w:tab/>
        <w:t>Baumgartner RN, Romero L, Garry PJ, Heymsfield SB, Koehler KM, Gallagher D, Ross RR, Lindeman RD (1998) Epidemiology of sarcopenia among the elderly in New Mexico. Am J Epidemiol 147:755-763</w:t>
      </w:r>
    </w:p>
    <w:p w14:paraId="5A1BCC5B"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33.</w:t>
      </w:r>
      <w:r w:rsidRPr="00444CAD">
        <w:rPr>
          <w:rFonts w:ascii="Times New Roman" w:hAnsi="Times New Roman" w:cs="Times New Roman"/>
        </w:rPr>
        <w:tab/>
        <w:t>Fielding RA, Vellas B, Evans WJ, et al. (2011) Sarcopenia: An undiagnosed condition in older adults. Current consensus definition: Prevalence, etiology, and consequences. International Working Group on Sarcopenia. J Am Med Dir Assoc 12:249-256</w:t>
      </w:r>
    </w:p>
    <w:p w14:paraId="37942B00" w14:textId="77777777" w:rsidR="00A96834" w:rsidRPr="00444CAD" w:rsidRDefault="00A96834" w:rsidP="00444CAD">
      <w:pPr>
        <w:pStyle w:val="EndNoteBibliography"/>
        <w:spacing w:line="480" w:lineRule="auto"/>
        <w:rPr>
          <w:rFonts w:ascii="Times New Roman" w:hAnsi="Times New Roman" w:cs="Times New Roman"/>
        </w:rPr>
      </w:pPr>
      <w:r w:rsidRPr="00444CAD">
        <w:rPr>
          <w:rFonts w:ascii="Times New Roman" w:hAnsi="Times New Roman" w:cs="Times New Roman"/>
        </w:rPr>
        <w:t>34.</w:t>
      </w:r>
      <w:r w:rsidRPr="00444CAD">
        <w:rPr>
          <w:rFonts w:ascii="Times New Roman" w:hAnsi="Times New Roman" w:cs="Times New Roman"/>
        </w:rPr>
        <w:tab/>
        <w:t>Studenski SA, Peters KW, Alley DE, Cawthon PM, McLean RR, Harris TB, Ferrucci L, Guralnik JM, Fragala MS, Kenny AM (2014) The FNIH Sarcopenia Project: Rationale, Study Description, Conference Recommendations, and Final Estimates. J Gerontol A Biol Sci Med Sci 69:547-558</w:t>
      </w:r>
    </w:p>
    <w:p w14:paraId="31BD9171" w14:textId="603A4C76" w:rsidR="00135A5E" w:rsidRPr="00444CAD" w:rsidRDefault="008B481D" w:rsidP="00444CAD">
      <w:pPr>
        <w:spacing w:line="480" w:lineRule="auto"/>
        <w:rPr>
          <w:rFonts w:ascii="Times New Roman" w:hAnsi="Times New Roman" w:cs="Times New Roman"/>
          <w:b/>
          <w:bCs/>
        </w:rPr>
        <w:sectPr w:rsidR="00135A5E" w:rsidRPr="00444CAD">
          <w:footerReference w:type="default" r:id="rId7"/>
          <w:pgSz w:w="11900" w:h="16840"/>
          <w:pgMar w:top="1440" w:right="1440" w:bottom="1440" w:left="1440" w:header="708" w:footer="708" w:gutter="0"/>
          <w:cols w:space="708"/>
          <w:docGrid w:linePitch="360"/>
        </w:sectPr>
      </w:pPr>
      <w:r w:rsidRPr="00444CAD">
        <w:rPr>
          <w:rFonts w:ascii="Times New Roman" w:hAnsi="Times New Roman" w:cs="Times New Roman"/>
          <w:b/>
          <w:bCs/>
        </w:rPr>
        <w:fldChar w:fldCharType="end"/>
      </w:r>
    </w:p>
    <w:p w14:paraId="50815E96" w14:textId="11EF9CF1" w:rsidR="00575EFD" w:rsidRPr="008F2447" w:rsidRDefault="00944A64" w:rsidP="00587760">
      <w:pPr>
        <w:rPr>
          <w:rFonts w:asciiTheme="majorBidi" w:hAnsiTheme="majorBidi" w:cstheme="majorBidi"/>
          <w:b/>
          <w:bCs/>
        </w:rPr>
      </w:pPr>
      <w:r w:rsidRPr="008F2447">
        <w:rPr>
          <w:rFonts w:asciiTheme="majorBidi" w:hAnsiTheme="majorBidi" w:cstheme="majorBidi"/>
          <w:b/>
          <w:bCs/>
        </w:rPr>
        <w:lastRenderedPageBreak/>
        <w:t xml:space="preserve">Figure 1. Five-year incidence of total hip osteoporosis/osteopenia, according to baseline </w:t>
      </w:r>
      <w:proofErr w:type="spellStart"/>
      <w:r w:rsidRPr="008F2447">
        <w:rPr>
          <w:rFonts w:asciiTheme="majorBidi" w:hAnsiTheme="majorBidi" w:cstheme="majorBidi"/>
          <w:b/>
          <w:bCs/>
        </w:rPr>
        <w:t>sarcopenic</w:t>
      </w:r>
      <w:proofErr w:type="spellEnd"/>
      <w:r w:rsidRPr="008F2447">
        <w:rPr>
          <w:rFonts w:asciiTheme="majorBidi" w:hAnsiTheme="majorBidi" w:cstheme="majorBidi"/>
          <w:b/>
          <w:bCs/>
        </w:rPr>
        <w:t xml:space="preserve"> obesity (A) and </w:t>
      </w:r>
      <w:proofErr w:type="spellStart"/>
      <w:r w:rsidRPr="008F2447">
        <w:rPr>
          <w:rFonts w:asciiTheme="majorBidi" w:hAnsiTheme="majorBidi" w:cstheme="majorBidi"/>
          <w:b/>
          <w:bCs/>
        </w:rPr>
        <w:t>dynapenic</w:t>
      </w:r>
      <w:proofErr w:type="spellEnd"/>
      <w:r w:rsidRPr="008F2447">
        <w:rPr>
          <w:rFonts w:asciiTheme="majorBidi" w:hAnsiTheme="majorBidi" w:cstheme="majorBidi"/>
          <w:b/>
          <w:bCs/>
        </w:rPr>
        <w:t xml:space="preserve"> obesity (B) categories</w:t>
      </w:r>
      <w:r w:rsidR="00B314E0">
        <w:rPr>
          <w:rFonts w:asciiTheme="majorBidi" w:hAnsiTheme="majorBidi" w:cstheme="majorBidi"/>
          <w:b/>
          <w:bCs/>
        </w:rPr>
        <w:t xml:space="preserve">, and combined </w:t>
      </w:r>
      <w:proofErr w:type="spellStart"/>
      <w:r w:rsidR="00B314E0">
        <w:rPr>
          <w:rFonts w:asciiTheme="majorBidi" w:hAnsiTheme="majorBidi" w:cstheme="majorBidi"/>
          <w:b/>
          <w:bCs/>
        </w:rPr>
        <w:t>sarcopenic</w:t>
      </w:r>
      <w:proofErr w:type="spellEnd"/>
      <w:r w:rsidR="00B314E0">
        <w:rPr>
          <w:rFonts w:asciiTheme="majorBidi" w:hAnsiTheme="majorBidi" w:cstheme="majorBidi"/>
          <w:b/>
          <w:bCs/>
        </w:rPr>
        <w:t xml:space="preserve"> </w:t>
      </w:r>
      <w:proofErr w:type="spellStart"/>
      <w:r w:rsidR="00B314E0">
        <w:rPr>
          <w:rFonts w:asciiTheme="majorBidi" w:hAnsiTheme="majorBidi" w:cstheme="majorBidi"/>
          <w:b/>
          <w:bCs/>
        </w:rPr>
        <w:t>andy</w:t>
      </w:r>
      <w:proofErr w:type="spellEnd"/>
      <w:r w:rsidR="00B314E0">
        <w:rPr>
          <w:rFonts w:asciiTheme="majorBidi" w:hAnsiTheme="majorBidi" w:cstheme="majorBidi"/>
          <w:b/>
          <w:bCs/>
        </w:rPr>
        <w:t xml:space="preserve"> </w:t>
      </w:r>
      <w:proofErr w:type="spellStart"/>
      <w:r w:rsidR="00B314E0">
        <w:rPr>
          <w:rFonts w:asciiTheme="majorBidi" w:hAnsiTheme="majorBidi" w:cstheme="majorBidi"/>
          <w:b/>
          <w:bCs/>
        </w:rPr>
        <w:t>dynapenic</w:t>
      </w:r>
      <w:proofErr w:type="spellEnd"/>
      <w:r w:rsidR="00B314E0">
        <w:rPr>
          <w:rFonts w:asciiTheme="majorBidi" w:hAnsiTheme="majorBidi" w:cstheme="majorBidi"/>
          <w:b/>
          <w:bCs/>
        </w:rPr>
        <w:t xml:space="preserve"> obesity (C)</w:t>
      </w:r>
      <w:r w:rsidRPr="008F2447">
        <w:rPr>
          <w:rFonts w:asciiTheme="majorBidi" w:hAnsiTheme="majorBidi" w:cstheme="majorBidi"/>
          <w:b/>
          <w:bCs/>
        </w:rPr>
        <w:t>.</w:t>
      </w:r>
    </w:p>
    <w:p w14:paraId="0E1685B9" w14:textId="77777777" w:rsidR="00575EFD" w:rsidRDefault="00575EFD">
      <w:pPr>
        <w:spacing w:line="480" w:lineRule="auto"/>
        <w:rPr>
          <w:rFonts w:asciiTheme="majorBidi" w:hAnsiTheme="majorBidi" w:cstheme="majorBidi"/>
          <w:b/>
          <w:bCs/>
        </w:rPr>
      </w:pPr>
    </w:p>
    <w:p w14:paraId="1114CCE5" w14:textId="77777777" w:rsidR="007067A7" w:rsidRPr="00587760" w:rsidRDefault="007067A7">
      <w:pPr>
        <w:spacing w:line="480" w:lineRule="auto"/>
        <w:rPr>
          <w:rFonts w:asciiTheme="majorBidi" w:hAnsiTheme="majorBidi" w:cstheme="majorBidi"/>
          <w:b/>
          <w:bCs/>
          <w:lang w:val="it-IT"/>
        </w:rPr>
      </w:pPr>
      <w:r w:rsidRPr="00587760">
        <w:rPr>
          <w:rFonts w:asciiTheme="majorBidi" w:hAnsiTheme="majorBidi" w:cstheme="majorBidi"/>
          <w:b/>
          <w:bCs/>
          <w:lang w:val="it-IT"/>
        </w:rPr>
        <w:t>Legend (A)</w:t>
      </w:r>
    </w:p>
    <w:p w14:paraId="660539FE" w14:textId="77777777" w:rsidR="00575EFD" w:rsidRPr="008F2447" w:rsidRDefault="00944A64">
      <w:pPr>
        <w:spacing w:line="480" w:lineRule="auto"/>
        <w:rPr>
          <w:rFonts w:asciiTheme="majorBidi" w:hAnsiTheme="majorBidi" w:cstheme="majorBidi"/>
          <w:bCs/>
          <w:lang w:val="it-IT"/>
        </w:rPr>
      </w:pPr>
      <w:r w:rsidRPr="008F2447">
        <w:rPr>
          <w:rFonts w:asciiTheme="majorBidi" w:hAnsiTheme="majorBidi" w:cstheme="majorBidi"/>
          <w:bCs/>
          <w:lang w:val="it-IT"/>
        </w:rPr>
        <w:t>NSNO = Non-</w:t>
      </w:r>
      <w:proofErr w:type="spellStart"/>
      <w:r w:rsidRPr="008F2447">
        <w:rPr>
          <w:rFonts w:asciiTheme="majorBidi" w:hAnsiTheme="majorBidi" w:cstheme="majorBidi"/>
          <w:bCs/>
          <w:lang w:val="it-IT"/>
        </w:rPr>
        <w:t>sarcopenic</w:t>
      </w:r>
      <w:proofErr w:type="spellEnd"/>
      <w:r w:rsidRPr="008F2447">
        <w:rPr>
          <w:rFonts w:asciiTheme="majorBidi" w:hAnsiTheme="majorBidi" w:cstheme="majorBidi"/>
          <w:bCs/>
          <w:lang w:val="it-IT"/>
        </w:rPr>
        <w:t xml:space="preserve"> non-obese</w:t>
      </w:r>
    </w:p>
    <w:p w14:paraId="718EA614" w14:textId="77777777" w:rsidR="00575EFD" w:rsidRPr="00587760" w:rsidRDefault="00944A64">
      <w:pPr>
        <w:spacing w:line="480" w:lineRule="auto"/>
        <w:rPr>
          <w:rFonts w:asciiTheme="majorBidi" w:hAnsiTheme="majorBidi" w:cstheme="majorBidi"/>
          <w:bCs/>
          <w:lang w:val="en-AU"/>
        </w:rPr>
      </w:pPr>
      <w:r w:rsidRPr="00587760">
        <w:rPr>
          <w:rFonts w:asciiTheme="majorBidi" w:hAnsiTheme="majorBidi" w:cstheme="majorBidi"/>
          <w:bCs/>
          <w:lang w:val="en-AU"/>
        </w:rPr>
        <w:t>O = Obese alone</w:t>
      </w:r>
    </w:p>
    <w:p w14:paraId="0886412F" w14:textId="77777777" w:rsidR="00575EFD" w:rsidRPr="008F2447" w:rsidRDefault="00944A64">
      <w:pPr>
        <w:spacing w:line="480" w:lineRule="auto"/>
        <w:rPr>
          <w:rFonts w:asciiTheme="majorBidi" w:hAnsiTheme="majorBidi" w:cstheme="majorBidi"/>
          <w:bCs/>
        </w:rPr>
      </w:pPr>
      <w:r w:rsidRPr="008F2447">
        <w:rPr>
          <w:rFonts w:asciiTheme="majorBidi" w:hAnsiTheme="majorBidi" w:cstheme="majorBidi"/>
          <w:bCs/>
        </w:rPr>
        <w:t xml:space="preserve">S = </w:t>
      </w:r>
      <w:proofErr w:type="spellStart"/>
      <w:r w:rsidRPr="008F2447">
        <w:rPr>
          <w:rFonts w:asciiTheme="majorBidi" w:hAnsiTheme="majorBidi" w:cstheme="majorBidi"/>
          <w:bCs/>
        </w:rPr>
        <w:t>Sarcopenic</w:t>
      </w:r>
      <w:proofErr w:type="spellEnd"/>
      <w:r w:rsidRPr="008F2447">
        <w:rPr>
          <w:rFonts w:asciiTheme="majorBidi" w:hAnsiTheme="majorBidi" w:cstheme="majorBidi"/>
          <w:bCs/>
        </w:rPr>
        <w:t xml:space="preserve"> alone</w:t>
      </w:r>
    </w:p>
    <w:p w14:paraId="217F5B8D" w14:textId="3A96F080" w:rsidR="00575EFD" w:rsidRPr="008F2447" w:rsidRDefault="00944A64" w:rsidP="00B314E0">
      <w:pPr>
        <w:spacing w:line="480" w:lineRule="auto"/>
        <w:rPr>
          <w:rFonts w:asciiTheme="majorBidi" w:hAnsiTheme="majorBidi" w:cstheme="majorBidi"/>
          <w:bCs/>
        </w:rPr>
      </w:pPr>
      <w:r w:rsidRPr="008F2447">
        <w:rPr>
          <w:rFonts w:asciiTheme="majorBidi" w:hAnsiTheme="majorBidi" w:cstheme="majorBidi"/>
          <w:bCs/>
        </w:rPr>
        <w:t xml:space="preserve">SO = </w:t>
      </w:r>
      <w:proofErr w:type="spellStart"/>
      <w:r w:rsidRPr="008F2447">
        <w:rPr>
          <w:rFonts w:asciiTheme="majorBidi" w:hAnsiTheme="majorBidi" w:cstheme="majorBidi"/>
          <w:bCs/>
        </w:rPr>
        <w:t>Sarcopenic</w:t>
      </w:r>
      <w:proofErr w:type="spellEnd"/>
      <w:r w:rsidRPr="008F2447">
        <w:rPr>
          <w:rFonts w:asciiTheme="majorBidi" w:hAnsiTheme="majorBidi" w:cstheme="majorBidi"/>
          <w:bCs/>
        </w:rPr>
        <w:t xml:space="preserve"> </w:t>
      </w:r>
      <w:r w:rsidR="00B314E0" w:rsidRPr="008F2447">
        <w:rPr>
          <w:rFonts w:asciiTheme="majorBidi" w:hAnsiTheme="majorBidi" w:cstheme="majorBidi"/>
          <w:bCs/>
        </w:rPr>
        <w:t>obes</w:t>
      </w:r>
      <w:r w:rsidR="00B314E0">
        <w:rPr>
          <w:rFonts w:asciiTheme="majorBidi" w:hAnsiTheme="majorBidi" w:cstheme="majorBidi"/>
          <w:bCs/>
        </w:rPr>
        <w:t>e</w:t>
      </w:r>
    </w:p>
    <w:p w14:paraId="2DE801E5" w14:textId="77777777" w:rsidR="00575EFD" w:rsidRPr="008F2447" w:rsidRDefault="00575EFD">
      <w:pPr>
        <w:spacing w:line="480" w:lineRule="auto"/>
        <w:rPr>
          <w:rFonts w:asciiTheme="majorBidi" w:hAnsiTheme="majorBidi" w:cstheme="majorBidi"/>
          <w:bCs/>
        </w:rPr>
      </w:pPr>
    </w:p>
    <w:p w14:paraId="389D8795"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a</w:t>
      </w:r>
      <w:proofErr w:type="gramEnd"/>
      <w:r w:rsidRPr="008F2447">
        <w:rPr>
          <w:rFonts w:asciiTheme="majorBidi" w:hAnsiTheme="majorBidi" w:cstheme="majorBidi"/>
          <w:bCs/>
        </w:rPr>
        <w:t xml:space="preserve"> denotes significantly different to NSNO</w:t>
      </w:r>
    </w:p>
    <w:p w14:paraId="0E672D5B"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b</w:t>
      </w:r>
      <w:proofErr w:type="gramEnd"/>
      <w:r w:rsidRPr="008F2447">
        <w:rPr>
          <w:rFonts w:asciiTheme="majorBidi" w:hAnsiTheme="majorBidi" w:cstheme="majorBidi"/>
          <w:bCs/>
        </w:rPr>
        <w:t xml:space="preserve"> denotes significantly different to O</w:t>
      </w:r>
    </w:p>
    <w:p w14:paraId="2743C7D0"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c</w:t>
      </w:r>
      <w:proofErr w:type="gramEnd"/>
      <w:r w:rsidRPr="008F2447">
        <w:rPr>
          <w:rFonts w:asciiTheme="majorBidi" w:hAnsiTheme="majorBidi" w:cstheme="majorBidi"/>
          <w:bCs/>
        </w:rPr>
        <w:t xml:space="preserve"> denotes significantly different to S</w:t>
      </w:r>
    </w:p>
    <w:p w14:paraId="6E55428A"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d</w:t>
      </w:r>
      <w:proofErr w:type="gramEnd"/>
      <w:r w:rsidRPr="008F2447">
        <w:rPr>
          <w:rFonts w:asciiTheme="majorBidi" w:hAnsiTheme="majorBidi" w:cstheme="majorBidi"/>
          <w:bCs/>
        </w:rPr>
        <w:t xml:space="preserve"> denotes significantly different to SO</w:t>
      </w:r>
    </w:p>
    <w:p w14:paraId="57E68904" w14:textId="77777777" w:rsidR="007067A7" w:rsidRDefault="007067A7">
      <w:pPr>
        <w:spacing w:line="480" w:lineRule="auto"/>
        <w:rPr>
          <w:rFonts w:asciiTheme="majorBidi" w:hAnsiTheme="majorBidi" w:cstheme="majorBidi"/>
          <w:b/>
          <w:bCs/>
        </w:rPr>
      </w:pPr>
    </w:p>
    <w:p w14:paraId="4223330C" w14:textId="77777777" w:rsidR="007067A7" w:rsidRDefault="007067A7">
      <w:pPr>
        <w:spacing w:line="480" w:lineRule="auto"/>
        <w:rPr>
          <w:rFonts w:asciiTheme="majorBidi" w:hAnsiTheme="majorBidi" w:cstheme="majorBidi"/>
          <w:b/>
          <w:bCs/>
        </w:rPr>
      </w:pPr>
    </w:p>
    <w:p w14:paraId="5B6A2FF8" w14:textId="77777777" w:rsidR="00575EFD" w:rsidRPr="00587760" w:rsidRDefault="007067A7">
      <w:pPr>
        <w:spacing w:line="480" w:lineRule="auto"/>
        <w:rPr>
          <w:rFonts w:asciiTheme="majorBidi" w:hAnsiTheme="majorBidi" w:cstheme="majorBidi"/>
          <w:b/>
          <w:bCs/>
          <w:lang w:val="it-IT"/>
        </w:rPr>
      </w:pPr>
      <w:r w:rsidRPr="00587760">
        <w:rPr>
          <w:rFonts w:asciiTheme="majorBidi" w:hAnsiTheme="majorBidi" w:cstheme="majorBidi"/>
          <w:b/>
          <w:bCs/>
          <w:lang w:val="it-IT"/>
        </w:rPr>
        <w:t>Legend (B)</w:t>
      </w:r>
    </w:p>
    <w:p w14:paraId="13BF2A6B" w14:textId="4B952F59" w:rsidR="00575EFD" w:rsidRPr="008F2447" w:rsidRDefault="00944A64" w:rsidP="00B314E0">
      <w:pPr>
        <w:spacing w:line="480" w:lineRule="auto"/>
        <w:rPr>
          <w:rFonts w:asciiTheme="majorBidi" w:hAnsiTheme="majorBidi" w:cstheme="majorBidi"/>
          <w:bCs/>
          <w:lang w:val="it-IT"/>
        </w:rPr>
      </w:pPr>
      <w:r w:rsidRPr="008F2447">
        <w:rPr>
          <w:rFonts w:asciiTheme="majorBidi" w:hAnsiTheme="majorBidi" w:cstheme="majorBidi"/>
          <w:bCs/>
          <w:lang w:val="it-IT"/>
        </w:rPr>
        <w:t>NDNO = Non-</w:t>
      </w:r>
      <w:proofErr w:type="spellStart"/>
      <w:r w:rsidR="00B314E0">
        <w:rPr>
          <w:rFonts w:asciiTheme="majorBidi" w:hAnsiTheme="majorBidi" w:cstheme="majorBidi"/>
          <w:bCs/>
          <w:lang w:val="it-IT"/>
        </w:rPr>
        <w:t>dynape</w:t>
      </w:r>
      <w:r w:rsidR="00B314E0" w:rsidRPr="008F2447">
        <w:rPr>
          <w:rFonts w:asciiTheme="majorBidi" w:hAnsiTheme="majorBidi" w:cstheme="majorBidi"/>
          <w:bCs/>
          <w:lang w:val="it-IT"/>
        </w:rPr>
        <w:t>nic</w:t>
      </w:r>
      <w:proofErr w:type="spellEnd"/>
      <w:r w:rsidR="00B314E0" w:rsidRPr="008F2447">
        <w:rPr>
          <w:rFonts w:asciiTheme="majorBidi" w:hAnsiTheme="majorBidi" w:cstheme="majorBidi"/>
          <w:bCs/>
          <w:lang w:val="it-IT"/>
        </w:rPr>
        <w:t xml:space="preserve"> </w:t>
      </w:r>
      <w:r w:rsidRPr="008F2447">
        <w:rPr>
          <w:rFonts w:asciiTheme="majorBidi" w:hAnsiTheme="majorBidi" w:cstheme="majorBidi"/>
          <w:bCs/>
          <w:lang w:val="it-IT"/>
        </w:rPr>
        <w:t>non-obese</w:t>
      </w:r>
    </w:p>
    <w:p w14:paraId="27CAFEE0" w14:textId="77777777" w:rsidR="00575EFD" w:rsidRPr="00587760" w:rsidRDefault="00944A64">
      <w:pPr>
        <w:spacing w:line="480" w:lineRule="auto"/>
        <w:rPr>
          <w:rFonts w:asciiTheme="majorBidi" w:hAnsiTheme="majorBidi" w:cstheme="majorBidi"/>
          <w:bCs/>
          <w:lang w:val="en-AU"/>
        </w:rPr>
      </w:pPr>
      <w:r w:rsidRPr="00587760">
        <w:rPr>
          <w:rFonts w:asciiTheme="majorBidi" w:hAnsiTheme="majorBidi" w:cstheme="majorBidi"/>
          <w:bCs/>
          <w:lang w:val="en-AU"/>
        </w:rPr>
        <w:t>O = Obese alone</w:t>
      </w:r>
    </w:p>
    <w:p w14:paraId="31A08D1A" w14:textId="354642CC" w:rsidR="00575EFD" w:rsidRPr="008F2447" w:rsidRDefault="00944A64" w:rsidP="00B314E0">
      <w:pPr>
        <w:spacing w:line="480" w:lineRule="auto"/>
        <w:rPr>
          <w:rFonts w:asciiTheme="majorBidi" w:hAnsiTheme="majorBidi" w:cstheme="majorBidi"/>
          <w:bCs/>
        </w:rPr>
      </w:pPr>
      <w:r w:rsidRPr="008F2447">
        <w:rPr>
          <w:rFonts w:asciiTheme="majorBidi" w:hAnsiTheme="majorBidi" w:cstheme="majorBidi"/>
          <w:bCs/>
        </w:rPr>
        <w:t xml:space="preserve">D = </w:t>
      </w:r>
      <w:proofErr w:type="spellStart"/>
      <w:r w:rsidR="00B314E0">
        <w:rPr>
          <w:rFonts w:asciiTheme="majorBidi" w:hAnsiTheme="majorBidi" w:cstheme="majorBidi"/>
          <w:bCs/>
        </w:rPr>
        <w:t>Dyna</w:t>
      </w:r>
      <w:r w:rsidR="00B314E0" w:rsidRPr="008F2447">
        <w:rPr>
          <w:rFonts w:asciiTheme="majorBidi" w:hAnsiTheme="majorBidi" w:cstheme="majorBidi"/>
          <w:bCs/>
        </w:rPr>
        <w:t>penic</w:t>
      </w:r>
      <w:proofErr w:type="spellEnd"/>
      <w:r w:rsidR="00B314E0" w:rsidRPr="008F2447">
        <w:rPr>
          <w:rFonts w:asciiTheme="majorBidi" w:hAnsiTheme="majorBidi" w:cstheme="majorBidi"/>
          <w:bCs/>
        </w:rPr>
        <w:t xml:space="preserve"> </w:t>
      </w:r>
      <w:r w:rsidRPr="008F2447">
        <w:rPr>
          <w:rFonts w:asciiTheme="majorBidi" w:hAnsiTheme="majorBidi" w:cstheme="majorBidi"/>
          <w:bCs/>
        </w:rPr>
        <w:t>alone</w:t>
      </w:r>
    </w:p>
    <w:p w14:paraId="7751DAFC" w14:textId="5C0AB4F7" w:rsidR="00575EFD" w:rsidRPr="008F2447" w:rsidRDefault="00944A64" w:rsidP="00B314E0">
      <w:pPr>
        <w:spacing w:line="480" w:lineRule="auto"/>
        <w:rPr>
          <w:rFonts w:asciiTheme="majorBidi" w:hAnsiTheme="majorBidi" w:cstheme="majorBidi"/>
          <w:bCs/>
        </w:rPr>
      </w:pPr>
      <w:r w:rsidRPr="008F2447">
        <w:rPr>
          <w:rFonts w:asciiTheme="majorBidi" w:hAnsiTheme="majorBidi" w:cstheme="majorBidi"/>
          <w:bCs/>
        </w:rPr>
        <w:t xml:space="preserve">DO = </w:t>
      </w:r>
      <w:proofErr w:type="spellStart"/>
      <w:r w:rsidR="00B314E0">
        <w:rPr>
          <w:rFonts w:asciiTheme="majorBidi" w:hAnsiTheme="majorBidi" w:cstheme="majorBidi"/>
          <w:bCs/>
        </w:rPr>
        <w:t>Dyna</w:t>
      </w:r>
      <w:r w:rsidR="00B314E0" w:rsidRPr="008F2447">
        <w:rPr>
          <w:rFonts w:asciiTheme="majorBidi" w:hAnsiTheme="majorBidi" w:cstheme="majorBidi"/>
          <w:bCs/>
        </w:rPr>
        <w:t>penic</w:t>
      </w:r>
      <w:proofErr w:type="spellEnd"/>
      <w:r w:rsidR="00B314E0" w:rsidRPr="008F2447">
        <w:rPr>
          <w:rFonts w:asciiTheme="majorBidi" w:hAnsiTheme="majorBidi" w:cstheme="majorBidi"/>
          <w:bCs/>
        </w:rPr>
        <w:t xml:space="preserve"> obes</w:t>
      </w:r>
      <w:r w:rsidR="00B314E0">
        <w:rPr>
          <w:rFonts w:asciiTheme="majorBidi" w:hAnsiTheme="majorBidi" w:cstheme="majorBidi"/>
          <w:bCs/>
        </w:rPr>
        <w:t>e</w:t>
      </w:r>
    </w:p>
    <w:p w14:paraId="1A4AECC3" w14:textId="77777777" w:rsidR="00575EFD" w:rsidRPr="008F2447" w:rsidRDefault="00575EFD">
      <w:pPr>
        <w:spacing w:line="480" w:lineRule="auto"/>
        <w:rPr>
          <w:rFonts w:asciiTheme="majorBidi" w:hAnsiTheme="majorBidi" w:cstheme="majorBidi"/>
          <w:bCs/>
        </w:rPr>
      </w:pPr>
    </w:p>
    <w:p w14:paraId="4769A804"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a</w:t>
      </w:r>
      <w:proofErr w:type="gramEnd"/>
      <w:r w:rsidRPr="008F2447">
        <w:rPr>
          <w:rFonts w:asciiTheme="majorBidi" w:hAnsiTheme="majorBidi" w:cstheme="majorBidi"/>
          <w:bCs/>
        </w:rPr>
        <w:t xml:space="preserve"> denotes significantly different to NDNO</w:t>
      </w:r>
    </w:p>
    <w:p w14:paraId="3B5F7D9E"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b</w:t>
      </w:r>
      <w:proofErr w:type="gramEnd"/>
      <w:r w:rsidRPr="008F2447">
        <w:rPr>
          <w:rFonts w:asciiTheme="majorBidi" w:hAnsiTheme="majorBidi" w:cstheme="majorBidi"/>
          <w:bCs/>
        </w:rPr>
        <w:t xml:space="preserve"> denotes significantly different to O</w:t>
      </w:r>
    </w:p>
    <w:p w14:paraId="5962D9E8" w14:textId="77777777" w:rsidR="00575EFD" w:rsidRPr="008F2447" w:rsidRDefault="00944A64">
      <w:pPr>
        <w:spacing w:line="480" w:lineRule="auto"/>
        <w:rPr>
          <w:rFonts w:asciiTheme="majorBidi" w:hAnsiTheme="majorBidi" w:cstheme="majorBidi"/>
          <w:bCs/>
        </w:rPr>
      </w:pPr>
      <w:proofErr w:type="gramStart"/>
      <w:r w:rsidRPr="008F2447">
        <w:rPr>
          <w:rFonts w:asciiTheme="majorBidi" w:hAnsiTheme="majorBidi" w:cstheme="majorBidi"/>
          <w:bCs/>
        </w:rPr>
        <w:t>c</w:t>
      </w:r>
      <w:proofErr w:type="gramEnd"/>
      <w:r w:rsidRPr="008F2447">
        <w:rPr>
          <w:rFonts w:asciiTheme="majorBidi" w:hAnsiTheme="majorBidi" w:cstheme="majorBidi"/>
          <w:bCs/>
        </w:rPr>
        <w:t xml:space="preserve"> denotes significantly different to D</w:t>
      </w:r>
    </w:p>
    <w:p w14:paraId="404E8C5F" w14:textId="77777777" w:rsidR="00575EFD" w:rsidRDefault="00944A64">
      <w:pPr>
        <w:spacing w:line="480" w:lineRule="auto"/>
        <w:rPr>
          <w:rFonts w:asciiTheme="majorBidi" w:hAnsiTheme="majorBidi" w:cstheme="majorBidi"/>
          <w:bCs/>
        </w:rPr>
      </w:pPr>
      <w:proofErr w:type="gramStart"/>
      <w:r w:rsidRPr="008F2447">
        <w:rPr>
          <w:rFonts w:asciiTheme="majorBidi" w:hAnsiTheme="majorBidi" w:cstheme="majorBidi"/>
          <w:bCs/>
        </w:rPr>
        <w:t>d</w:t>
      </w:r>
      <w:proofErr w:type="gramEnd"/>
      <w:r w:rsidRPr="008F2447">
        <w:rPr>
          <w:rFonts w:asciiTheme="majorBidi" w:hAnsiTheme="majorBidi" w:cstheme="majorBidi"/>
          <w:bCs/>
        </w:rPr>
        <w:t xml:space="preserve"> denotes significantly different to DO</w:t>
      </w:r>
    </w:p>
    <w:p w14:paraId="3246AF56" w14:textId="77777777" w:rsidR="00B314E0" w:rsidRDefault="00B314E0">
      <w:pPr>
        <w:spacing w:line="480" w:lineRule="auto"/>
        <w:rPr>
          <w:rFonts w:asciiTheme="majorBidi" w:hAnsiTheme="majorBidi" w:cstheme="majorBidi"/>
          <w:bCs/>
        </w:rPr>
      </w:pPr>
    </w:p>
    <w:p w14:paraId="00047D7A" w14:textId="1679925F" w:rsidR="00B314E0" w:rsidRPr="00587760" w:rsidRDefault="00B314E0" w:rsidP="00B314E0">
      <w:pPr>
        <w:spacing w:line="480" w:lineRule="auto"/>
        <w:rPr>
          <w:rFonts w:asciiTheme="majorBidi" w:hAnsiTheme="majorBidi" w:cstheme="majorBidi"/>
          <w:b/>
          <w:bCs/>
          <w:lang w:val="it-IT"/>
        </w:rPr>
      </w:pPr>
      <w:r w:rsidRPr="00587760">
        <w:rPr>
          <w:rFonts w:asciiTheme="majorBidi" w:hAnsiTheme="majorBidi" w:cstheme="majorBidi"/>
          <w:b/>
          <w:bCs/>
          <w:lang w:val="it-IT"/>
        </w:rPr>
        <w:lastRenderedPageBreak/>
        <w:t>Legend (</w:t>
      </w:r>
      <w:r>
        <w:rPr>
          <w:rFonts w:asciiTheme="majorBidi" w:hAnsiTheme="majorBidi" w:cstheme="majorBidi"/>
          <w:b/>
          <w:bCs/>
          <w:lang w:val="it-IT"/>
        </w:rPr>
        <w:t>C</w:t>
      </w:r>
      <w:r w:rsidRPr="00587760">
        <w:rPr>
          <w:rFonts w:asciiTheme="majorBidi" w:hAnsiTheme="majorBidi" w:cstheme="majorBidi"/>
          <w:b/>
          <w:bCs/>
          <w:lang w:val="it-IT"/>
        </w:rPr>
        <w:t>)</w:t>
      </w:r>
    </w:p>
    <w:p w14:paraId="474E5E0D" w14:textId="6FB4968C" w:rsidR="00B314E0" w:rsidRPr="008F2447" w:rsidRDefault="00B314E0" w:rsidP="00B314E0">
      <w:pPr>
        <w:spacing w:line="480" w:lineRule="auto"/>
        <w:rPr>
          <w:rFonts w:asciiTheme="majorBidi" w:hAnsiTheme="majorBidi" w:cstheme="majorBidi"/>
          <w:bCs/>
          <w:lang w:val="it-IT"/>
        </w:rPr>
      </w:pPr>
      <w:r w:rsidRPr="008F2447">
        <w:rPr>
          <w:rFonts w:asciiTheme="majorBidi" w:hAnsiTheme="majorBidi" w:cstheme="majorBidi"/>
          <w:bCs/>
          <w:lang w:val="it-IT"/>
        </w:rPr>
        <w:t>N</w:t>
      </w:r>
      <w:r>
        <w:rPr>
          <w:rFonts w:asciiTheme="majorBidi" w:hAnsiTheme="majorBidi" w:cstheme="majorBidi"/>
          <w:bCs/>
          <w:lang w:val="it-IT"/>
        </w:rPr>
        <w:t>SN</w:t>
      </w:r>
      <w:r w:rsidRPr="008F2447">
        <w:rPr>
          <w:rFonts w:asciiTheme="majorBidi" w:hAnsiTheme="majorBidi" w:cstheme="majorBidi"/>
          <w:bCs/>
          <w:lang w:val="it-IT"/>
        </w:rPr>
        <w:t>DNO = Non-</w:t>
      </w:r>
      <w:proofErr w:type="spellStart"/>
      <w:r w:rsidRPr="008F2447">
        <w:rPr>
          <w:rFonts w:asciiTheme="majorBidi" w:hAnsiTheme="majorBidi" w:cstheme="majorBidi"/>
          <w:bCs/>
          <w:lang w:val="it-IT"/>
        </w:rPr>
        <w:t>sarcopenic</w:t>
      </w:r>
      <w:proofErr w:type="spellEnd"/>
      <w:r>
        <w:rPr>
          <w:rFonts w:asciiTheme="majorBidi" w:hAnsiTheme="majorBidi" w:cstheme="majorBidi"/>
          <w:bCs/>
          <w:lang w:val="it-IT"/>
        </w:rPr>
        <w:t xml:space="preserve"> and non-</w:t>
      </w:r>
      <w:proofErr w:type="spellStart"/>
      <w:r>
        <w:rPr>
          <w:rFonts w:asciiTheme="majorBidi" w:hAnsiTheme="majorBidi" w:cstheme="majorBidi"/>
          <w:bCs/>
          <w:lang w:val="it-IT"/>
        </w:rPr>
        <w:t>dynapenic</w:t>
      </w:r>
      <w:proofErr w:type="spellEnd"/>
      <w:r w:rsidRPr="008F2447">
        <w:rPr>
          <w:rFonts w:asciiTheme="majorBidi" w:hAnsiTheme="majorBidi" w:cstheme="majorBidi"/>
          <w:bCs/>
          <w:lang w:val="it-IT"/>
        </w:rPr>
        <w:t xml:space="preserve"> non-obese</w:t>
      </w:r>
    </w:p>
    <w:p w14:paraId="247B036D" w14:textId="77777777" w:rsidR="00B314E0" w:rsidRPr="00587760" w:rsidRDefault="00B314E0" w:rsidP="00B314E0">
      <w:pPr>
        <w:spacing w:line="480" w:lineRule="auto"/>
        <w:rPr>
          <w:rFonts w:asciiTheme="majorBidi" w:hAnsiTheme="majorBidi" w:cstheme="majorBidi"/>
          <w:bCs/>
          <w:lang w:val="en-AU"/>
        </w:rPr>
      </w:pPr>
      <w:r w:rsidRPr="00587760">
        <w:rPr>
          <w:rFonts w:asciiTheme="majorBidi" w:hAnsiTheme="majorBidi" w:cstheme="majorBidi"/>
          <w:bCs/>
          <w:lang w:val="en-AU"/>
        </w:rPr>
        <w:t>O = Obese alone</w:t>
      </w:r>
    </w:p>
    <w:p w14:paraId="1E3F20C0" w14:textId="6EDE7E6C" w:rsidR="00B314E0" w:rsidRPr="008F2447" w:rsidRDefault="00B314E0" w:rsidP="00B314E0">
      <w:pPr>
        <w:spacing w:line="480" w:lineRule="auto"/>
        <w:rPr>
          <w:rFonts w:asciiTheme="majorBidi" w:hAnsiTheme="majorBidi" w:cstheme="majorBidi"/>
          <w:bCs/>
        </w:rPr>
      </w:pPr>
      <w:r>
        <w:rPr>
          <w:rFonts w:asciiTheme="majorBidi" w:hAnsiTheme="majorBidi" w:cstheme="majorBidi"/>
          <w:bCs/>
        </w:rPr>
        <w:t>S</w:t>
      </w:r>
      <w:r w:rsidRPr="008F2447">
        <w:rPr>
          <w:rFonts w:asciiTheme="majorBidi" w:hAnsiTheme="majorBidi" w:cstheme="majorBidi"/>
          <w:bCs/>
        </w:rPr>
        <w:t xml:space="preserve">D = </w:t>
      </w:r>
      <w:proofErr w:type="spellStart"/>
      <w:r w:rsidRPr="008F2447">
        <w:rPr>
          <w:rFonts w:asciiTheme="majorBidi" w:hAnsiTheme="majorBidi" w:cstheme="majorBidi"/>
          <w:bCs/>
        </w:rPr>
        <w:t>Sarcopenic</w:t>
      </w:r>
      <w:proofErr w:type="spellEnd"/>
      <w:r>
        <w:rPr>
          <w:rFonts w:asciiTheme="majorBidi" w:hAnsiTheme="majorBidi" w:cstheme="majorBidi"/>
          <w:bCs/>
        </w:rPr>
        <w:t xml:space="preserve"> and </w:t>
      </w:r>
      <w:proofErr w:type="spellStart"/>
      <w:r>
        <w:rPr>
          <w:rFonts w:asciiTheme="majorBidi" w:hAnsiTheme="majorBidi" w:cstheme="majorBidi"/>
          <w:bCs/>
        </w:rPr>
        <w:t>dynapenic</w:t>
      </w:r>
      <w:proofErr w:type="spellEnd"/>
      <w:r w:rsidRPr="008F2447">
        <w:rPr>
          <w:rFonts w:asciiTheme="majorBidi" w:hAnsiTheme="majorBidi" w:cstheme="majorBidi"/>
          <w:bCs/>
        </w:rPr>
        <w:t xml:space="preserve"> alone</w:t>
      </w:r>
    </w:p>
    <w:p w14:paraId="76D82968" w14:textId="6BC11287" w:rsidR="00B314E0" w:rsidRPr="008F2447" w:rsidRDefault="00B314E0" w:rsidP="00B314E0">
      <w:pPr>
        <w:spacing w:line="480" w:lineRule="auto"/>
        <w:rPr>
          <w:rFonts w:asciiTheme="majorBidi" w:hAnsiTheme="majorBidi" w:cstheme="majorBidi"/>
          <w:bCs/>
        </w:rPr>
      </w:pPr>
      <w:r>
        <w:rPr>
          <w:rFonts w:asciiTheme="majorBidi" w:hAnsiTheme="majorBidi" w:cstheme="majorBidi"/>
          <w:bCs/>
        </w:rPr>
        <w:t>S</w:t>
      </w:r>
      <w:r w:rsidRPr="008F2447">
        <w:rPr>
          <w:rFonts w:asciiTheme="majorBidi" w:hAnsiTheme="majorBidi" w:cstheme="majorBidi"/>
          <w:bCs/>
        </w:rPr>
        <w:t xml:space="preserve">DO = </w:t>
      </w:r>
      <w:proofErr w:type="spellStart"/>
      <w:r w:rsidRPr="008F2447">
        <w:rPr>
          <w:rFonts w:asciiTheme="majorBidi" w:hAnsiTheme="majorBidi" w:cstheme="majorBidi"/>
          <w:bCs/>
        </w:rPr>
        <w:t>Sarcopenic</w:t>
      </w:r>
      <w:proofErr w:type="spellEnd"/>
      <w:r>
        <w:rPr>
          <w:rFonts w:asciiTheme="majorBidi" w:hAnsiTheme="majorBidi" w:cstheme="majorBidi"/>
          <w:bCs/>
        </w:rPr>
        <w:t xml:space="preserve"> and </w:t>
      </w:r>
      <w:proofErr w:type="spellStart"/>
      <w:r>
        <w:rPr>
          <w:rFonts w:asciiTheme="majorBidi" w:hAnsiTheme="majorBidi" w:cstheme="majorBidi"/>
          <w:bCs/>
        </w:rPr>
        <w:t>dynapenic</w:t>
      </w:r>
      <w:proofErr w:type="spellEnd"/>
      <w:r w:rsidRPr="008F2447">
        <w:rPr>
          <w:rFonts w:asciiTheme="majorBidi" w:hAnsiTheme="majorBidi" w:cstheme="majorBidi"/>
          <w:bCs/>
        </w:rPr>
        <w:t xml:space="preserve"> obes</w:t>
      </w:r>
      <w:r>
        <w:rPr>
          <w:rFonts w:asciiTheme="majorBidi" w:hAnsiTheme="majorBidi" w:cstheme="majorBidi"/>
          <w:bCs/>
        </w:rPr>
        <w:t>e</w:t>
      </w:r>
    </w:p>
    <w:p w14:paraId="5DB97BCE" w14:textId="77777777" w:rsidR="00B314E0" w:rsidRPr="008F2447" w:rsidRDefault="00B314E0" w:rsidP="00B314E0">
      <w:pPr>
        <w:spacing w:line="480" w:lineRule="auto"/>
        <w:rPr>
          <w:rFonts w:asciiTheme="majorBidi" w:hAnsiTheme="majorBidi" w:cstheme="majorBidi"/>
          <w:bCs/>
        </w:rPr>
      </w:pPr>
    </w:p>
    <w:p w14:paraId="2FCF85F3" w14:textId="7339E831" w:rsidR="00B314E0" w:rsidRPr="008F2447" w:rsidRDefault="00B314E0" w:rsidP="00B314E0">
      <w:pPr>
        <w:spacing w:line="480" w:lineRule="auto"/>
        <w:rPr>
          <w:rFonts w:asciiTheme="majorBidi" w:hAnsiTheme="majorBidi" w:cstheme="majorBidi"/>
          <w:bCs/>
        </w:rPr>
      </w:pPr>
      <w:proofErr w:type="gramStart"/>
      <w:r w:rsidRPr="008F2447">
        <w:rPr>
          <w:rFonts w:asciiTheme="majorBidi" w:hAnsiTheme="majorBidi" w:cstheme="majorBidi"/>
          <w:bCs/>
        </w:rPr>
        <w:t>a</w:t>
      </w:r>
      <w:proofErr w:type="gramEnd"/>
      <w:r w:rsidRPr="008F2447">
        <w:rPr>
          <w:rFonts w:asciiTheme="majorBidi" w:hAnsiTheme="majorBidi" w:cstheme="majorBidi"/>
          <w:bCs/>
        </w:rPr>
        <w:t xml:space="preserve"> denotes significantly different to N</w:t>
      </w:r>
      <w:r>
        <w:rPr>
          <w:rFonts w:asciiTheme="majorBidi" w:hAnsiTheme="majorBidi" w:cstheme="majorBidi"/>
          <w:bCs/>
        </w:rPr>
        <w:t>SN</w:t>
      </w:r>
      <w:r w:rsidRPr="008F2447">
        <w:rPr>
          <w:rFonts w:asciiTheme="majorBidi" w:hAnsiTheme="majorBidi" w:cstheme="majorBidi"/>
          <w:bCs/>
        </w:rPr>
        <w:t>DNO</w:t>
      </w:r>
    </w:p>
    <w:p w14:paraId="47527546" w14:textId="77777777" w:rsidR="00B314E0" w:rsidRPr="008F2447" w:rsidRDefault="00B314E0" w:rsidP="00B314E0">
      <w:pPr>
        <w:spacing w:line="480" w:lineRule="auto"/>
        <w:rPr>
          <w:rFonts w:asciiTheme="majorBidi" w:hAnsiTheme="majorBidi" w:cstheme="majorBidi"/>
          <w:bCs/>
        </w:rPr>
      </w:pPr>
      <w:proofErr w:type="gramStart"/>
      <w:r w:rsidRPr="008F2447">
        <w:rPr>
          <w:rFonts w:asciiTheme="majorBidi" w:hAnsiTheme="majorBidi" w:cstheme="majorBidi"/>
          <w:bCs/>
        </w:rPr>
        <w:t>b</w:t>
      </w:r>
      <w:proofErr w:type="gramEnd"/>
      <w:r w:rsidRPr="008F2447">
        <w:rPr>
          <w:rFonts w:asciiTheme="majorBidi" w:hAnsiTheme="majorBidi" w:cstheme="majorBidi"/>
          <w:bCs/>
        </w:rPr>
        <w:t xml:space="preserve"> denotes significantly different to O</w:t>
      </w:r>
    </w:p>
    <w:p w14:paraId="4169C889" w14:textId="0F8D94D8" w:rsidR="00B314E0" w:rsidRPr="008F2447" w:rsidRDefault="00B314E0" w:rsidP="00B314E0">
      <w:pPr>
        <w:spacing w:line="480" w:lineRule="auto"/>
        <w:rPr>
          <w:rFonts w:asciiTheme="majorBidi" w:hAnsiTheme="majorBidi" w:cstheme="majorBidi"/>
          <w:bCs/>
        </w:rPr>
      </w:pPr>
      <w:proofErr w:type="gramStart"/>
      <w:r w:rsidRPr="008F2447">
        <w:rPr>
          <w:rFonts w:asciiTheme="majorBidi" w:hAnsiTheme="majorBidi" w:cstheme="majorBidi"/>
          <w:bCs/>
        </w:rPr>
        <w:t>c</w:t>
      </w:r>
      <w:proofErr w:type="gramEnd"/>
      <w:r w:rsidRPr="008F2447">
        <w:rPr>
          <w:rFonts w:asciiTheme="majorBidi" w:hAnsiTheme="majorBidi" w:cstheme="majorBidi"/>
          <w:bCs/>
        </w:rPr>
        <w:t xml:space="preserve"> denotes significantly different to </w:t>
      </w:r>
      <w:r>
        <w:rPr>
          <w:rFonts w:asciiTheme="majorBidi" w:hAnsiTheme="majorBidi" w:cstheme="majorBidi"/>
          <w:bCs/>
        </w:rPr>
        <w:t>S</w:t>
      </w:r>
      <w:r w:rsidRPr="008F2447">
        <w:rPr>
          <w:rFonts w:asciiTheme="majorBidi" w:hAnsiTheme="majorBidi" w:cstheme="majorBidi"/>
          <w:bCs/>
        </w:rPr>
        <w:t>D</w:t>
      </w:r>
    </w:p>
    <w:p w14:paraId="123EFBE6" w14:textId="4593CB74" w:rsidR="00B314E0" w:rsidRPr="008F2447" w:rsidRDefault="00B314E0" w:rsidP="00B314E0">
      <w:pPr>
        <w:spacing w:line="480" w:lineRule="auto"/>
        <w:rPr>
          <w:rFonts w:asciiTheme="majorBidi" w:hAnsiTheme="majorBidi" w:cstheme="majorBidi"/>
          <w:bCs/>
        </w:rPr>
      </w:pPr>
      <w:proofErr w:type="gramStart"/>
      <w:r w:rsidRPr="008F2447">
        <w:rPr>
          <w:rFonts w:asciiTheme="majorBidi" w:hAnsiTheme="majorBidi" w:cstheme="majorBidi"/>
          <w:bCs/>
        </w:rPr>
        <w:t>d</w:t>
      </w:r>
      <w:proofErr w:type="gramEnd"/>
      <w:r w:rsidRPr="008F2447">
        <w:rPr>
          <w:rFonts w:asciiTheme="majorBidi" w:hAnsiTheme="majorBidi" w:cstheme="majorBidi"/>
          <w:bCs/>
        </w:rPr>
        <w:t xml:space="preserve"> denotes significantly different to </w:t>
      </w:r>
      <w:r>
        <w:rPr>
          <w:rFonts w:asciiTheme="majorBidi" w:hAnsiTheme="majorBidi" w:cstheme="majorBidi"/>
          <w:bCs/>
        </w:rPr>
        <w:t>S</w:t>
      </w:r>
      <w:r w:rsidRPr="008F2447">
        <w:rPr>
          <w:rFonts w:asciiTheme="majorBidi" w:hAnsiTheme="majorBidi" w:cstheme="majorBidi"/>
          <w:bCs/>
        </w:rPr>
        <w:t>DO</w:t>
      </w:r>
    </w:p>
    <w:p w14:paraId="5CC155C6" w14:textId="77777777" w:rsidR="00B314E0" w:rsidRPr="008F2447" w:rsidRDefault="00B314E0">
      <w:pPr>
        <w:spacing w:line="480" w:lineRule="auto"/>
        <w:rPr>
          <w:rFonts w:asciiTheme="majorBidi" w:hAnsiTheme="majorBidi" w:cstheme="majorBidi"/>
          <w:bCs/>
        </w:rPr>
      </w:pPr>
    </w:p>
    <w:p w14:paraId="07D4F15D" w14:textId="77777777" w:rsidR="001E0057" w:rsidRDefault="001E0057">
      <w:pPr>
        <w:rPr>
          <w:rFonts w:ascii="Times New Roman" w:hAnsi="Times New Roman"/>
          <w:b/>
          <w:bCs/>
        </w:rPr>
        <w:sectPr w:rsidR="001E0057" w:rsidSect="00587760">
          <w:pgSz w:w="11900" w:h="16840"/>
          <w:pgMar w:top="1440" w:right="1440" w:bottom="1440" w:left="1440" w:header="708" w:footer="708" w:gutter="0"/>
          <w:cols w:space="708"/>
          <w:docGrid w:linePitch="360"/>
        </w:sectPr>
      </w:pPr>
    </w:p>
    <w:p w14:paraId="2BA323DC" w14:textId="77777777" w:rsidR="001E0057" w:rsidRPr="008F2447" w:rsidRDefault="001E0057" w:rsidP="001E0057">
      <w:pPr>
        <w:pStyle w:val="Caption"/>
        <w:spacing w:line="480" w:lineRule="auto"/>
        <w:rPr>
          <w:rFonts w:asciiTheme="majorBidi" w:hAnsiTheme="majorBidi" w:cstheme="majorBidi"/>
          <w:color w:val="auto"/>
          <w:sz w:val="24"/>
          <w:szCs w:val="24"/>
        </w:rPr>
      </w:pPr>
      <w:r w:rsidRPr="008F2447">
        <w:rPr>
          <w:rFonts w:asciiTheme="majorBidi" w:hAnsiTheme="majorBidi" w:cstheme="majorBidi"/>
          <w:color w:val="auto"/>
          <w:sz w:val="24"/>
          <w:szCs w:val="24"/>
        </w:rPr>
        <w:lastRenderedPageBreak/>
        <w:t xml:space="preserve">Table </w:t>
      </w:r>
      <w:r w:rsidRPr="008F2447">
        <w:rPr>
          <w:rFonts w:asciiTheme="majorBidi" w:hAnsiTheme="majorBidi" w:cstheme="majorBidi"/>
          <w:color w:val="auto"/>
          <w:sz w:val="24"/>
          <w:szCs w:val="24"/>
        </w:rPr>
        <w:fldChar w:fldCharType="begin"/>
      </w:r>
      <w:r w:rsidRPr="008F2447">
        <w:rPr>
          <w:rFonts w:asciiTheme="majorBidi" w:hAnsiTheme="majorBidi" w:cstheme="majorBidi"/>
          <w:color w:val="auto"/>
          <w:sz w:val="24"/>
          <w:szCs w:val="24"/>
        </w:rPr>
        <w:instrText xml:space="preserve"> SEQ Table \* ARABIC </w:instrText>
      </w:r>
      <w:r w:rsidRPr="008F2447">
        <w:rPr>
          <w:rFonts w:asciiTheme="majorBidi" w:hAnsiTheme="majorBidi" w:cstheme="majorBidi"/>
          <w:color w:val="auto"/>
          <w:sz w:val="24"/>
          <w:szCs w:val="24"/>
        </w:rPr>
        <w:fldChar w:fldCharType="separate"/>
      </w:r>
      <w:r w:rsidRPr="008F2447">
        <w:rPr>
          <w:rFonts w:asciiTheme="majorBidi" w:hAnsiTheme="majorBidi" w:cstheme="majorBidi"/>
          <w:noProof/>
          <w:color w:val="auto"/>
          <w:sz w:val="24"/>
          <w:szCs w:val="24"/>
        </w:rPr>
        <w:t>1</w:t>
      </w:r>
      <w:r w:rsidRPr="008F2447">
        <w:rPr>
          <w:rFonts w:asciiTheme="majorBidi" w:hAnsiTheme="majorBidi" w:cstheme="majorBidi"/>
          <w:color w:val="auto"/>
          <w:sz w:val="24"/>
          <w:szCs w:val="24"/>
        </w:rPr>
        <w:fldChar w:fldCharType="end"/>
      </w:r>
      <w:r w:rsidRPr="008F2447">
        <w:rPr>
          <w:rFonts w:asciiTheme="majorBidi" w:hAnsiTheme="majorBidi" w:cstheme="majorBidi"/>
          <w:color w:val="auto"/>
          <w:sz w:val="24"/>
          <w:szCs w:val="24"/>
        </w:rPr>
        <w:t xml:space="preserve">. </w:t>
      </w:r>
      <w:r w:rsidRPr="008F2447">
        <w:rPr>
          <w:rFonts w:asciiTheme="majorBidi" w:hAnsiTheme="majorBidi" w:cstheme="majorBidi"/>
          <w:color w:val="auto"/>
          <w:sz w:val="24"/>
          <w:szCs w:val="24"/>
          <w:lang w:val="en-AU"/>
        </w:rPr>
        <w:t>Baseline descriptive</w:t>
      </w:r>
      <w:r w:rsidRPr="008F2447">
        <w:rPr>
          <w:rFonts w:asciiTheme="majorBidi" w:hAnsiTheme="majorBidi" w:cstheme="majorBidi"/>
          <w:color w:val="auto"/>
          <w:sz w:val="24"/>
          <w:szCs w:val="24"/>
        </w:rPr>
        <w:t xml:space="preserve"> characteristics according to categories of </w:t>
      </w:r>
      <w:proofErr w:type="spellStart"/>
      <w:r w:rsidRPr="008F2447">
        <w:rPr>
          <w:rFonts w:asciiTheme="majorBidi" w:hAnsiTheme="majorBidi" w:cstheme="majorBidi"/>
          <w:color w:val="auto"/>
          <w:sz w:val="24"/>
          <w:szCs w:val="24"/>
        </w:rPr>
        <w:t>sarcopenic</w:t>
      </w:r>
      <w:proofErr w:type="spellEnd"/>
      <w:r w:rsidRPr="008F2447">
        <w:rPr>
          <w:rFonts w:asciiTheme="majorBidi" w:hAnsiTheme="majorBidi" w:cstheme="majorBidi"/>
          <w:color w:val="auto"/>
          <w:sz w:val="24"/>
          <w:szCs w:val="24"/>
        </w:rPr>
        <w:t xml:space="preserve"> and </w:t>
      </w:r>
      <w:proofErr w:type="spellStart"/>
      <w:r w:rsidRPr="008F2447">
        <w:rPr>
          <w:rFonts w:asciiTheme="majorBidi" w:hAnsiTheme="majorBidi" w:cstheme="majorBidi"/>
          <w:color w:val="auto"/>
          <w:sz w:val="24"/>
          <w:szCs w:val="24"/>
        </w:rPr>
        <w:t>dynapenic</w:t>
      </w:r>
      <w:proofErr w:type="spellEnd"/>
      <w:r w:rsidRPr="008F2447">
        <w:rPr>
          <w:rFonts w:asciiTheme="majorBidi" w:hAnsiTheme="majorBidi" w:cstheme="majorBidi"/>
          <w:color w:val="auto"/>
          <w:sz w:val="24"/>
          <w:szCs w:val="24"/>
        </w:rPr>
        <w:t xml:space="preserve"> obesity. </w:t>
      </w:r>
    </w:p>
    <w:tbl>
      <w:tblPr>
        <w:tblStyle w:val="TableGrid"/>
        <w:tblW w:w="13950" w:type="dxa"/>
        <w:tblLayout w:type="fixed"/>
        <w:tblLook w:val="04A0" w:firstRow="1" w:lastRow="0" w:firstColumn="1" w:lastColumn="0" w:noHBand="0" w:noVBand="1"/>
      </w:tblPr>
      <w:tblGrid>
        <w:gridCol w:w="1550"/>
        <w:gridCol w:w="1550"/>
        <w:gridCol w:w="1550"/>
        <w:gridCol w:w="1550"/>
        <w:gridCol w:w="1550"/>
        <w:gridCol w:w="1550"/>
        <w:gridCol w:w="1550"/>
        <w:gridCol w:w="1550"/>
        <w:gridCol w:w="1550"/>
      </w:tblGrid>
      <w:tr w:rsidR="001E0057" w:rsidRPr="008F2447" w14:paraId="111358F8" w14:textId="77777777" w:rsidTr="003011AA">
        <w:tc>
          <w:tcPr>
            <w:tcW w:w="1550" w:type="dxa"/>
            <w:tcBorders>
              <w:top w:val="single" w:sz="18" w:space="0" w:color="auto"/>
              <w:left w:val="nil"/>
              <w:bottom w:val="single" w:sz="18" w:space="0" w:color="auto"/>
            </w:tcBorders>
            <w:shd w:val="clear" w:color="000000" w:fill="BFBFBF"/>
            <w:vAlign w:val="center"/>
          </w:tcPr>
          <w:p w14:paraId="2CA36E50" w14:textId="77777777" w:rsidR="001E0057" w:rsidRPr="008F2447" w:rsidRDefault="001E0057" w:rsidP="003011AA">
            <w:pPr>
              <w:spacing w:line="480" w:lineRule="auto"/>
              <w:jc w:val="center"/>
              <w:rPr>
                <w:rFonts w:asciiTheme="majorBidi" w:hAnsiTheme="majorBidi" w:cstheme="majorBidi"/>
              </w:rPr>
            </w:pPr>
          </w:p>
        </w:tc>
        <w:tc>
          <w:tcPr>
            <w:tcW w:w="1550" w:type="dxa"/>
            <w:tcBorders>
              <w:top w:val="single" w:sz="18" w:space="0" w:color="auto"/>
              <w:bottom w:val="single" w:sz="18" w:space="0" w:color="auto"/>
            </w:tcBorders>
            <w:shd w:val="clear" w:color="000000" w:fill="BFBFBF"/>
            <w:vAlign w:val="center"/>
          </w:tcPr>
          <w:p w14:paraId="14CBC02B"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non-obese</w:t>
            </w:r>
          </w:p>
          <w:p w14:paraId="6797E193"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N=457</w:t>
            </w:r>
          </w:p>
        </w:tc>
        <w:tc>
          <w:tcPr>
            <w:tcW w:w="1550" w:type="dxa"/>
            <w:tcBorders>
              <w:top w:val="single" w:sz="18" w:space="0" w:color="auto"/>
              <w:bottom w:val="single" w:sz="18" w:space="0" w:color="auto"/>
            </w:tcBorders>
            <w:shd w:val="clear" w:color="000000" w:fill="BFBFBF"/>
            <w:vAlign w:val="center"/>
          </w:tcPr>
          <w:p w14:paraId="48B5A7D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7BF471A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N=274</w:t>
            </w:r>
          </w:p>
        </w:tc>
        <w:tc>
          <w:tcPr>
            <w:tcW w:w="1550" w:type="dxa"/>
            <w:tcBorders>
              <w:top w:val="single" w:sz="18" w:space="0" w:color="auto"/>
              <w:bottom w:val="single" w:sz="18" w:space="0" w:color="auto"/>
            </w:tcBorders>
            <w:shd w:val="clear" w:color="000000" w:fill="BFBFBF"/>
            <w:vAlign w:val="center"/>
          </w:tcPr>
          <w:p w14:paraId="6BB8838E"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N=233</w:t>
            </w:r>
          </w:p>
        </w:tc>
        <w:tc>
          <w:tcPr>
            <w:tcW w:w="1550" w:type="dxa"/>
            <w:tcBorders>
              <w:top w:val="single" w:sz="18" w:space="0" w:color="auto"/>
              <w:bottom w:val="single" w:sz="18" w:space="0" w:color="auto"/>
              <w:right w:val="single" w:sz="18" w:space="0" w:color="auto"/>
            </w:tcBorders>
            <w:shd w:val="clear" w:color="000000" w:fill="BFBFBF"/>
            <w:vAlign w:val="center"/>
          </w:tcPr>
          <w:p w14:paraId="209BDCD8"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w:t>
            </w:r>
          </w:p>
          <w:p w14:paraId="1674007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N=128</w:t>
            </w:r>
          </w:p>
        </w:tc>
        <w:tc>
          <w:tcPr>
            <w:tcW w:w="1550" w:type="dxa"/>
            <w:tcBorders>
              <w:top w:val="single" w:sz="18" w:space="0" w:color="auto"/>
              <w:left w:val="single" w:sz="18" w:space="0" w:color="auto"/>
              <w:bottom w:val="single" w:sz="18" w:space="0" w:color="auto"/>
            </w:tcBorders>
            <w:shd w:val="clear" w:color="000000" w:fill="BFBFBF"/>
            <w:vAlign w:val="center"/>
          </w:tcPr>
          <w:p w14:paraId="7B43BA2F"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xml:space="preserve">, non-obese </w:t>
            </w:r>
          </w:p>
          <w:p w14:paraId="704AAA29"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N=419</w:t>
            </w:r>
          </w:p>
        </w:tc>
        <w:tc>
          <w:tcPr>
            <w:tcW w:w="1550" w:type="dxa"/>
            <w:tcBorders>
              <w:top w:val="single" w:sz="18" w:space="0" w:color="auto"/>
              <w:bottom w:val="single" w:sz="18" w:space="0" w:color="auto"/>
            </w:tcBorders>
            <w:shd w:val="clear" w:color="000000" w:fill="BFBFBF"/>
            <w:vAlign w:val="center"/>
          </w:tcPr>
          <w:p w14:paraId="7B6EE84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68D279C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N=241</w:t>
            </w:r>
          </w:p>
        </w:tc>
        <w:tc>
          <w:tcPr>
            <w:tcW w:w="1550" w:type="dxa"/>
            <w:tcBorders>
              <w:top w:val="single" w:sz="18" w:space="0" w:color="auto"/>
              <w:bottom w:val="single" w:sz="18" w:space="0" w:color="auto"/>
            </w:tcBorders>
            <w:shd w:val="clear" w:color="000000" w:fill="BFBFBF"/>
            <w:vAlign w:val="center"/>
          </w:tcPr>
          <w:p w14:paraId="6D95F2B2"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non-obese N=244</w:t>
            </w:r>
          </w:p>
        </w:tc>
        <w:tc>
          <w:tcPr>
            <w:tcW w:w="1550" w:type="dxa"/>
            <w:tcBorders>
              <w:top w:val="single" w:sz="18" w:space="0" w:color="auto"/>
              <w:bottom w:val="single" w:sz="18" w:space="0" w:color="auto"/>
              <w:right w:val="nil"/>
            </w:tcBorders>
            <w:shd w:val="clear" w:color="auto" w:fill="BFBFBF" w:themeFill="background1" w:themeFillShade="BF"/>
            <w:vAlign w:val="center"/>
          </w:tcPr>
          <w:p w14:paraId="2C8C9418"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281A3942"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N=138</w:t>
            </w:r>
          </w:p>
        </w:tc>
      </w:tr>
      <w:tr w:rsidR="001E0057" w:rsidRPr="008F2447" w14:paraId="00C81C48" w14:textId="77777777" w:rsidTr="003011AA">
        <w:tc>
          <w:tcPr>
            <w:tcW w:w="1550" w:type="dxa"/>
            <w:tcBorders>
              <w:top w:val="single" w:sz="18" w:space="0" w:color="auto"/>
              <w:left w:val="nil"/>
            </w:tcBorders>
            <w:vAlign w:val="center"/>
          </w:tcPr>
          <w:p w14:paraId="2E48DA3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Age (years)</w:t>
            </w:r>
          </w:p>
        </w:tc>
        <w:tc>
          <w:tcPr>
            <w:tcW w:w="1550" w:type="dxa"/>
            <w:tcBorders>
              <w:top w:val="single" w:sz="18" w:space="0" w:color="auto"/>
            </w:tcBorders>
            <w:vAlign w:val="center"/>
          </w:tcPr>
          <w:p w14:paraId="3BE84BB1"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 xml:space="preserve">62.4 </w:t>
            </w:r>
            <w:r w:rsidRPr="008F2447">
              <w:rPr>
                <w:rFonts w:asciiTheme="majorBidi" w:hAnsiTheme="majorBidi" w:cstheme="majorBidi"/>
                <w:color w:val="000000"/>
              </w:rPr>
              <w:t>±7.5</w:t>
            </w:r>
            <w:r w:rsidRPr="008F2447">
              <w:rPr>
                <w:rFonts w:asciiTheme="majorBidi" w:hAnsiTheme="majorBidi" w:cstheme="majorBidi"/>
                <w:color w:val="000000"/>
                <w:vertAlign w:val="superscript"/>
              </w:rPr>
              <w:t>c,d</w:t>
            </w:r>
          </w:p>
        </w:tc>
        <w:tc>
          <w:tcPr>
            <w:tcW w:w="1550" w:type="dxa"/>
            <w:tcBorders>
              <w:top w:val="single" w:sz="18" w:space="0" w:color="auto"/>
            </w:tcBorders>
            <w:vAlign w:val="center"/>
          </w:tcPr>
          <w:p w14:paraId="59ACABBA"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62.3</w:t>
            </w:r>
            <w:r w:rsidRPr="008F2447">
              <w:rPr>
                <w:rFonts w:asciiTheme="majorBidi" w:hAnsiTheme="majorBidi" w:cstheme="majorBidi"/>
                <w:color w:val="000000"/>
              </w:rPr>
              <w:t>±6.8</w:t>
            </w:r>
            <w:r w:rsidRPr="008F2447">
              <w:rPr>
                <w:rFonts w:asciiTheme="majorBidi" w:hAnsiTheme="majorBidi" w:cstheme="majorBidi"/>
                <w:color w:val="000000"/>
                <w:vertAlign w:val="superscript"/>
              </w:rPr>
              <w:t>c,d</w:t>
            </w:r>
          </w:p>
        </w:tc>
        <w:tc>
          <w:tcPr>
            <w:tcW w:w="1550" w:type="dxa"/>
            <w:tcBorders>
              <w:top w:val="single" w:sz="18" w:space="0" w:color="auto"/>
            </w:tcBorders>
            <w:vAlign w:val="center"/>
          </w:tcPr>
          <w:p w14:paraId="5044E406"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64.2</w:t>
            </w:r>
            <w:r w:rsidRPr="008F2447">
              <w:rPr>
                <w:rFonts w:asciiTheme="majorBidi" w:hAnsiTheme="majorBidi" w:cstheme="majorBidi"/>
                <w:color w:val="000000"/>
              </w:rPr>
              <w:t>±8.0</w:t>
            </w:r>
            <w:r w:rsidRPr="008F2447">
              <w:rPr>
                <w:rFonts w:asciiTheme="majorBidi" w:hAnsiTheme="majorBidi" w:cstheme="majorBidi"/>
                <w:color w:val="000000"/>
                <w:vertAlign w:val="superscript"/>
              </w:rPr>
              <w:t>a,b</w:t>
            </w:r>
          </w:p>
        </w:tc>
        <w:tc>
          <w:tcPr>
            <w:tcW w:w="1550" w:type="dxa"/>
            <w:tcBorders>
              <w:top w:val="single" w:sz="18" w:space="0" w:color="auto"/>
              <w:right w:val="single" w:sz="18" w:space="0" w:color="auto"/>
            </w:tcBorders>
            <w:vAlign w:val="center"/>
          </w:tcPr>
          <w:p w14:paraId="7DEC91C4"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64.8</w:t>
            </w:r>
            <w:r w:rsidRPr="008F2447">
              <w:rPr>
                <w:rFonts w:asciiTheme="majorBidi" w:hAnsiTheme="majorBidi" w:cstheme="majorBidi"/>
                <w:color w:val="000000"/>
              </w:rPr>
              <w:t>±7.6</w:t>
            </w:r>
            <w:r w:rsidRPr="008F2447">
              <w:rPr>
                <w:rFonts w:asciiTheme="majorBidi" w:hAnsiTheme="majorBidi" w:cstheme="majorBidi"/>
                <w:color w:val="000000"/>
                <w:vertAlign w:val="superscript"/>
              </w:rPr>
              <w:t>a,b</w:t>
            </w:r>
          </w:p>
        </w:tc>
        <w:tc>
          <w:tcPr>
            <w:tcW w:w="1550" w:type="dxa"/>
            <w:tcBorders>
              <w:top w:val="single" w:sz="18" w:space="0" w:color="auto"/>
              <w:left w:val="single" w:sz="18" w:space="0" w:color="auto"/>
            </w:tcBorders>
            <w:vAlign w:val="center"/>
          </w:tcPr>
          <w:p w14:paraId="77A1195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61.2</w:t>
            </w:r>
            <w:r w:rsidRPr="008F2447">
              <w:rPr>
                <w:rFonts w:asciiTheme="majorBidi" w:hAnsiTheme="majorBidi" w:cstheme="majorBidi"/>
                <w:color w:val="000000"/>
              </w:rPr>
              <w:t>±6.9</w:t>
            </w:r>
            <w:r w:rsidRPr="008F2447">
              <w:rPr>
                <w:rFonts w:asciiTheme="majorBidi" w:hAnsiTheme="majorBidi" w:cstheme="majorBidi"/>
                <w:color w:val="000000"/>
                <w:vertAlign w:val="superscript"/>
              </w:rPr>
              <w:t>c,d</w:t>
            </w:r>
          </w:p>
        </w:tc>
        <w:tc>
          <w:tcPr>
            <w:tcW w:w="1550" w:type="dxa"/>
            <w:tcBorders>
              <w:top w:val="single" w:sz="18" w:space="0" w:color="auto"/>
            </w:tcBorders>
            <w:vAlign w:val="center"/>
          </w:tcPr>
          <w:p w14:paraId="7A570D1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61.8</w:t>
            </w:r>
            <w:r w:rsidRPr="008F2447">
              <w:rPr>
                <w:rFonts w:asciiTheme="majorBidi" w:hAnsiTheme="majorBidi" w:cstheme="majorBidi"/>
                <w:color w:val="000000"/>
              </w:rPr>
              <w:t>±6.7</w:t>
            </w:r>
            <w:r w:rsidRPr="008F2447">
              <w:rPr>
                <w:rFonts w:asciiTheme="majorBidi" w:hAnsiTheme="majorBidi" w:cstheme="majorBidi"/>
                <w:color w:val="000000"/>
                <w:vertAlign w:val="superscript"/>
              </w:rPr>
              <w:t>c,d</w:t>
            </w:r>
          </w:p>
        </w:tc>
        <w:tc>
          <w:tcPr>
            <w:tcW w:w="1550" w:type="dxa"/>
            <w:tcBorders>
              <w:top w:val="single" w:sz="18" w:space="0" w:color="auto"/>
            </w:tcBorders>
            <w:vAlign w:val="center"/>
          </w:tcPr>
          <w:p w14:paraId="789DA1B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65.5</w:t>
            </w:r>
            <w:r w:rsidRPr="008F2447">
              <w:rPr>
                <w:rFonts w:asciiTheme="majorBidi" w:hAnsiTheme="majorBidi" w:cstheme="majorBidi"/>
                <w:color w:val="000000"/>
              </w:rPr>
              <w:t>±8.00</w:t>
            </w:r>
            <w:r w:rsidRPr="008F2447">
              <w:rPr>
                <w:rFonts w:asciiTheme="majorBidi" w:hAnsiTheme="majorBidi" w:cstheme="majorBidi"/>
                <w:color w:val="000000"/>
                <w:vertAlign w:val="superscript"/>
              </w:rPr>
              <w:t>a,b</w:t>
            </w:r>
          </w:p>
        </w:tc>
        <w:tc>
          <w:tcPr>
            <w:tcW w:w="1550" w:type="dxa"/>
            <w:tcBorders>
              <w:top w:val="single" w:sz="18" w:space="0" w:color="auto"/>
              <w:right w:val="nil"/>
            </w:tcBorders>
            <w:vAlign w:val="center"/>
          </w:tcPr>
          <w:p w14:paraId="5250CCA8"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65.1</w:t>
            </w:r>
            <w:r w:rsidRPr="008F2447">
              <w:rPr>
                <w:rFonts w:asciiTheme="majorBidi" w:hAnsiTheme="majorBidi" w:cstheme="majorBidi"/>
                <w:color w:val="000000"/>
              </w:rPr>
              <w:t>±7.4</w:t>
            </w:r>
            <w:r w:rsidRPr="008F2447">
              <w:rPr>
                <w:rFonts w:asciiTheme="majorBidi" w:hAnsiTheme="majorBidi" w:cstheme="majorBidi"/>
                <w:color w:val="000000"/>
                <w:vertAlign w:val="superscript"/>
              </w:rPr>
              <w:t>a,b</w:t>
            </w:r>
          </w:p>
        </w:tc>
      </w:tr>
      <w:tr w:rsidR="001E0057" w:rsidRPr="008F2447" w14:paraId="31ADFDE9" w14:textId="77777777" w:rsidTr="003011AA">
        <w:tc>
          <w:tcPr>
            <w:tcW w:w="1550" w:type="dxa"/>
            <w:tcBorders>
              <w:left w:val="nil"/>
            </w:tcBorders>
            <w:vAlign w:val="center"/>
          </w:tcPr>
          <w:p w14:paraId="17F1A21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Female (%)*</w:t>
            </w:r>
          </w:p>
        </w:tc>
        <w:tc>
          <w:tcPr>
            <w:tcW w:w="1550" w:type="dxa"/>
            <w:vAlign w:val="center"/>
          </w:tcPr>
          <w:p w14:paraId="2BE32A9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49%</w:t>
            </w:r>
          </w:p>
        </w:tc>
        <w:tc>
          <w:tcPr>
            <w:tcW w:w="1550" w:type="dxa"/>
            <w:vAlign w:val="center"/>
          </w:tcPr>
          <w:p w14:paraId="44E59B9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54%</w:t>
            </w:r>
          </w:p>
        </w:tc>
        <w:tc>
          <w:tcPr>
            <w:tcW w:w="1550" w:type="dxa"/>
            <w:vAlign w:val="center"/>
          </w:tcPr>
          <w:p w14:paraId="378FB36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52%</w:t>
            </w:r>
          </w:p>
        </w:tc>
        <w:tc>
          <w:tcPr>
            <w:tcW w:w="1550" w:type="dxa"/>
            <w:tcBorders>
              <w:right w:val="single" w:sz="18" w:space="0" w:color="auto"/>
            </w:tcBorders>
            <w:vAlign w:val="center"/>
          </w:tcPr>
          <w:p w14:paraId="1EE37FF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51%</w:t>
            </w:r>
          </w:p>
        </w:tc>
        <w:tc>
          <w:tcPr>
            <w:tcW w:w="1550" w:type="dxa"/>
            <w:tcBorders>
              <w:left w:val="single" w:sz="18" w:space="0" w:color="auto"/>
            </w:tcBorders>
            <w:vAlign w:val="center"/>
          </w:tcPr>
          <w:p w14:paraId="18B0197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50%</w:t>
            </w:r>
            <w:r w:rsidRPr="008F2447">
              <w:rPr>
                <w:rFonts w:asciiTheme="majorBidi" w:hAnsiTheme="majorBidi" w:cstheme="majorBidi"/>
                <w:vertAlign w:val="superscript"/>
              </w:rPr>
              <w:t>d</w:t>
            </w:r>
          </w:p>
        </w:tc>
        <w:tc>
          <w:tcPr>
            <w:tcW w:w="1550" w:type="dxa"/>
            <w:vAlign w:val="center"/>
          </w:tcPr>
          <w:p w14:paraId="36CEC18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48%</w:t>
            </w:r>
            <w:r w:rsidRPr="008F2447">
              <w:rPr>
                <w:rFonts w:asciiTheme="majorBidi" w:hAnsiTheme="majorBidi" w:cstheme="majorBidi"/>
                <w:vertAlign w:val="superscript"/>
              </w:rPr>
              <w:t>d</w:t>
            </w:r>
          </w:p>
        </w:tc>
        <w:tc>
          <w:tcPr>
            <w:tcW w:w="1550" w:type="dxa"/>
            <w:vAlign w:val="center"/>
          </w:tcPr>
          <w:p w14:paraId="34E422B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49%</w:t>
            </w:r>
            <w:r w:rsidRPr="008F2447">
              <w:rPr>
                <w:rFonts w:asciiTheme="majorBidi" w:hAnsiTheme="majorBidi" w:cstheme="majorBidi"/>
                <w:vertAlign w:val="superscript"/>
              </w:rPr>
              <w:t>d</w:t>
            </w:r>
          </w:p>
        </w:tc>
        <w:tc>
          <w:tcPr>
            <w:tcW w:w="1550" w:type="dxa"/>
            <w:tcBorders>
              <w:right w:val="nil"/>
            </w:tcBorders>
            <w:vAlign w:val="center"/>
          </w:tcPr>
          <w:p w14:paraId="2F141D1F"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59%</w:t>
            </w:r>
            <w:r w:rsidRPr="008F2447">
              <w:rPr>
                <w:rFonts w:asciiTheme="majorBidi" w:hAnsiTheme="majorBidi" w:cstheme="majorBidi"/>
                <w:vertAlign w:val="superscript"/>
              </w:rPr>
              <w:t>a,b,c</w:t>
            </w:r>
          </w:p>
        </w:tc>
      </w:tr>
      <w:tr w:rsidR="001E0057" w:rsidRPr="008F2447" w14:paraId="3A36F95A" w14:textId="77777777" w:rsidTr="003011AA">
        <w:tc>
          <w:tcPr>
            <w:tcW w:w="1550" w:type="dxa"/>
            <w:tcBorders>
              <w:left w:val="nil"/>
            </w:tcBorders>
            <w:vAlign w:val="center"/>
          </w:tcPr>
          <w:p w14:paraId="7AF2B0B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Current smoker (%)*</w:t>
            </w:r>
          </w:p>
        </w:tc>
        <w:tc>
          <w:tcPr>
            <w:tcW w:w="1550" w:type="dxa"/>
            <w:vAlign w:val="center"/>
          </w:tcPr>
          <w:p w14:paraId="4B71DA2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12.3%</w:t>
            </w:r>
          </w:p>
        </w:tc>
        <w:tc>
          <w:tcPr>
            <w:tcW w:w="1550" w:type="dxa"/>
            <w:vAlign w:val="center"/>
          </w:tcPr>
          <w:p w14:paraId="69CB189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10.3%</w:t>
            </w:r>
          </w:p>
        </w:tc>
        <w:tc>
          <w:tcPr>
            <w:tcW w:w="1550" w:type="dxa"/>
            <w:vAlign w:val="center"/>
          </w:tcPr>
          <w:p w14:paraId="2F7BD79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16.3%</w:t>
            </w:r>
          </w:p>
        </w:tc>
        <w:tc>
          <w:tcPr>
            <w:tcW w:w="1550" w:type="dxa"/>
            <w:tcBorders>
              <w:right w:val="single" w:sz="18" w:space="0" w:color="auto"/>
            </w:tcBorders>
            <w:vAlign w:val="center"/>
          </w:tcPr>
          <w:p w14:paraId="3D0B6BB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7.0%</w:t>
            </w:r>
          </w:p>
        </w:tc>
        <w:tc>
          <w:tcPr>
            <w:tcW w:w="1550" w:type="dxa"/>
            <w:tcBorders>
              <w:left w:val="single" w:sz="18" w:space="0" w:color="auto"/>
            </w:tcBorders>
            <w:vAlign w:val="center"/>
          </w:tcPr>
          <w:p w14:paraId="7A2F2DF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13.4%</w:t>
            </w:r>
          </w:p>
        </w:tc>
        <w:tc>
          <w:tcPr>
            <w:tcW w:w="1550" w:type="dxa"/>
            <w:vAlign w:val="center"/>
          </w:tcPr>
          <w:p w14:paraId="7F03D75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11.3%</w:t>
            </w:r>
          </w:p>
        </w:tc>
        <w:tc>
          <w:tcPr>
            <w:tcW w:w="1550" w:type="dxa"/>
            <w:vAlign w:val="center"/>
          </w:tcPr>
          <w:p w14:paraId="5169FB4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14.5%</w:t>
            </w:r>
          </w:p>
        </w:tc>
        <w:tc>
          <w:tcPr>
            <w:tcW w:w="1550" w:type="dxa"/>
            <w:tcBorders>
              <w:right w:val="nil"/>
            </w:tcBorders>
            <w:vAlign w:val="center"/>
          </w:tcPr>
          <w:p w14:paraId="69D8B8D0"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5.8%</w:t>
            </w:r>
          </w:p>
        </w:tc>
      </w:tr>
      <w:tr w:rsidR="001E0057" w:rsidRPr="008F2447" w14:paraId="4F6168CE" w14:textId="77777777" w:rsidTr="003011AA">
        <w:tc>
          <w:tcPr>
            <w:tcW w:w="1550" w:type="dxa"/>
            <w:tcBorders>
              <w:left w:val="nil"/>
            </w:tcBorders>
            <w:vAlign w:val="center"/>
          </w:tcPr>
          <w:p w14:paraId="6A08B9D9"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Number of comorbidities</w:t>
            </w:r>
          </w:p>
        </w:tc>
        <w:tc>
          <w:tcPr>
            <w:tcW w:w="1550" w:type="dxa"/>
            <w:vAlign w:val="center"/>
          </w:tcPr>
          <w:p w14:paraId="6BCEB6F6" w14:textId="77777777" w:rsidR="001E0057" w:rsidRPr="008F2447" w:rsidRDefault="001E0057" w:rsidP="003011AA">
            <w:pPr>
              <w:spacing w:line="480" w:lineRule="auto"/>
              <w:jc w:val="center"/>
              <w:rPr>
                <w:rFonts w:asciiTheme="majorBidi" w:hAnsiTheme="majorBidi" w:cstheme="majorBidi"/>
                <w:vertAlign w:val="superscript"/>
              </w:rPr>
            </w:pPr>
            <w:r>
              <w:rPr>
                <w:rFonts w:asciiTheme="majorBidi" w:hAnsiTheme="majorBidi" w:cstheme="majorBidi"/>
              </w:rPr>
              <w:t>1.27 ± 1.27</w:t>
            </w:r>
            <w:r>
              <w:rPr>
                <w:rFonts w:asciiTheme="majorBidi" w:hAnsiTheme="majorBidi" w:cstheme="majorBidi"/>
                <w:vertAlign w:val="superscript"/>
              </w:rPr>
              <w:t>b,d</w:t>
            </w:r>
          </w:p>
        </w:tc>
        <w:tc>
          <w:tcPr>
            <w:tcW w:w="1550" w:type="dxa"/>
            <w:vAlign w:val="center"/>
          </w:tcPr>
          <w:p w14:paraId="744DE23E" w14:textId="77777777" w:rsidR="001E0057" w:rsidRPr="008F2447" w:rsidRDefault="001E0057" w:rsidP="003011AA">
            <w:pPr>
              <w:spacing w:line="480" w:lineRule="auto"/>
              <w:jc w:val="center"/>
              <w:rPr>
                <w:rFonts w:asciiTheme="majorBidi" w:hAnsiTheme="majorBidi" w:cstheme="majorBidi"/>
                <w:vertAlign w:val="superscript"/>
              </w:rPr>
            </w:pPr>
            <w:r>
              <w:rPr>
                <w:rFonts w:asciiTheme="majorBidi" w:hAnsiTheme="majorBidi" w:cstheme="majorBidi"/>
              </w:rPr>
              <w:t>1.64 ± 1.46</w:t>
            </w:r>
            <w:r w:rsidRPr="008F2447">
              <w:rPr>
                <w:rFonts w:asciiTheme="majorBidi" w:hAnsiTheme="majorBidi" w:cstheme="majorBidi"/>
                <w:vertAlign w:val="superscript"/>
              </w:rPr>
              <w:t>a</w:t>
            </w:r>
          </w:p>
        </w:tc>
        <w:tc>
          <w:tcPr>
            <w:tcW w:w="1550" w:type="dxa"/>
            <w:vAlign w:val="center"/>
          </w:tcPr>
          <w:p w14:paraId="6AED4D7F"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1.43 ± 1.33</w:t>
            </w:r>
            <w:r>
              <w:rPr>
                <w:rFonts w:asciiTheme="majorBidi" w:hAnsiTheme="majorBidi" w:cstheme="majorBidi"/>
                <w:vertAlign w:val="superscript"/>
              </w:rPr>
              <w:t>d</w:t>
            </w:r>
          </w:p>
        </w:tc>
        <w:tc>
          <w:tcPr>
            <w:tcW w:w="1550" w:type="dxa"/>
            <w:tcBorders>
              <w:right w:val="single" w:sz="18" w:space="0" w:color="auto"/>
            </w:tcBorders>
            <w:vAlign w:val="center"/>
          </w:tcPr>
          <w:p w14:paraId="2CC2ED69"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1.89 ± 1.38</w:t>
            </w:r>
            <w:r>
              <w:rPr>
                <w:rFonts w:asciiTheme="majorBidi" w:hAnsiTheme="majorBidi" w:cstheme="majorBidi"/>
                <w:vertAlign w:val="superscript"/>
              </w:rPr>
              <w:t>a,c</w:t>
            </w:r>
          </w:p>
        </w:tc>
        <w:tc>
          <w:tcPr>
            <w:tcW w:w="1550" w:type="dxa"/>
            <w:tcBorders>
              <w:left w:val="single" w:sz="18" w:space="0" w:color="auto"/>
            </w:tcBorders>
            <w:vAlign w:val="center"/>
          </w:tcPr>
          <w:p w14:paraId="4D1A9AC1"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1.15 ± 1.17</w:t>
            </w:r>
            <w:r>
              <w:rPr>
                <w:rFonts w:asciiTheme="majorBidi" w:hAnsiTheme="majorBidi" w:cstheme="majorBidi"/>
                <w:vertAlign w:val="superscript"/>
              </w:rPr>
              <w:t>b,c,d</w:t>
            </w:r>
          </w:p>
        </w:tc>
        <w:tc>
          <w:tcPr>
            <w:tcW w:w="1550" w:type="dxa"/>
            <w:vAlign w:val="center"/>
          </w:tcPr>
          <w:p w14:paraId="10AFAE2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1.47 ± 1.25</w:t>
            </w:r>
            <w:r w:rsidRPr="008F2447">
              <w:rPr>
                <w:rFonts w:asciiTheme="majorBidi" w:hAnsiTheme="majorBidi" w:cstheme="majorBidi"/>
                <w:vertAlign w:val="superscript"/>
              </w:rPr>
              <w:t>a</w:t>
            </w:r>
            <w:r>
              <w:rPr>
                <w:rFonts w:asciiTheme="majorBidi" w:hAnsiTheme="majorBidi" w:cstheme="majorBidi"/>
                <w:vertAlign w:val="superscript"/>
              </w:rPr>
              <w:t>,d</w:t>
            </w:r>
          </w:p>
        </w:tc>
        <w:tc>
          <w:tcPr>
            <w:tcW w:w="1550" w:type="dxa"/>
            <w:vAlign w:val="center"/>
          </w:tcPr>
          <w:p w14:paraId="3EB84E41"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1.48 ± 1.37</w:t>
            </w:r>
            <w:r>
              <w:rPr>
                <w:rFonts w:asciiTheme="majorBidi" w:hAnsiTheme="majorBidi" w:cstheme="majorBidi"/>
                <w:vertAlign w:val="superscript"/>
              </w:rPr>
              <w:t>a,d</w:t>
            </w:r>
          </w:p>
        </w:tc>
        <w:tc>
          <w:tcPr>
            <w:tcW w:w="1550" w:type="dxa"/>
            <w:tcBorders>
              <w:right w:val="nil"/>
            </w:tcBorders>
            <w:vAlign w:val="center"/>
          </w:tcPr>
          <w:p w14:paraId="3F9EEFC7" w14:textId="77777777" w:rsidR="001E0057" w:rsidRPr="008F2447" w:rsidRDefault="001E0057" w:rsidP="003011AA">
            <w:pPr>
              <w:spacing w:line="480" w:lineRule="auto"/>
              <w:rPr>
                <w:rFonts w:asciiTheme="majorBidi" w:hAnsiTheme="majorBidi" w:cstheme="majorBidi"/>
              </w:rPr>
            </w:pPr>
            <w:r>
              <w:rPr>
                <w:rFonts w:asciiTheme="majorBidi" w:hAnsiTheme="majorBidi" w:cstheme="majorBidi"/>
              </w:rPr>
              <w:t>2.18 ± 1.59</w:t>
            </w:r>
            <w:r>
              <w:rPr>
                <w:rFonts w:asciiTheme="majorBidi" w:hAnsiTheme="majorBidi" w:cstheme="majorBidi"/>
                <w:vertAlign w:val="superscript"/>
              </w:rPr>
              <w:t>a,b,c</w:t>
            </w:r>
          </w:p>
        </w:tc>
      </w:tr>
      <w:tr w:rsidR="001E0057" w:rsidRPr="008F2447" w14:paraId="232A9240" w14:textId="77777777" w:rsidTr="003011AA">
        <w:tc>
          <w:tcPr>
            <w:tcW w:w="1550" w:type="dxa"/>
            <w:tcBorders>
              <w:left w:val="nil"/>
            </w:tcBorders>
            <w:vAlign w:val="center"/>
          </w:tcPr>
          <w:p w14:paraId="66FE738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Pain (%)*</w:t>
            </w:r>
          </w:p>
        </w:tc>
        <w:tc>
          <w:tcPr>
            <w:tcW w:w="1550" w:type="dxa"/>
            <w:vAlign w:val="center"/>
          </w:tcPr>
          <w:p w14:paraId="4AA43527"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85.3%</w:t>
            </w:r>
            <w:r w:rsidRPr="008F2447">
              <w:rPr>
                <w:rFonts w:asciiTheme="majorBidi" w:hAnsiTheme="majorBidi" w:cstheme="majorBidi"/>
                <w:vertAlign w:val="superscript"/>
              </w:rPr>
              <w:t>d</w:t>
            </w:r>
          </w:p>
        </w:tc>
        <w:tc>
          <w:tcPr>
            <w:tcW w:w="1550" w:type="dxa"/>
            <w:vAlign w:val="center"/>
          </w:tcPr>
          <w:p w14:paraId="1897EAD8"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90.8%</w:t>
            </w:r>
            <w:r w:rsidRPr="008F2447">
              <w:rPr>
                <w:rFonts w:asciiTheme="majorBidi" w:hAnsiTheme="majorBidi" w:cstheme="majorBidi"/>
                <w:vertAlign w:val="superscript"/>
              </w:rPr>
              <w:t>c</w:t>
            </w:r>
          </w:p>
        </w:tc>
        <w:tc>
          <w:tcPr>
            <w:tcW w:w="1550" w:type="dxa"/>
            <w:vAlign w:val="center"/>
          </w:tcPr>
          <w:p w14:paraId="1719137F"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82.8%</w:t>
            </w:r>
            <w:r w:rsidRPr="008F2447">
              <w:rPr>
                <w:rFonts w:asciiTheme="majorBidi" w:hAnsiTheme="majorBidi" w:cstheme="majorBidi"/>
                <w:vertAlign w:val="superscript"/>
              </w:rPr>
              <w:t>b,d</w:t>
            </w:r>
          </w:p>
        </w:tc>
        <w:tc>
          <w:tcPr>
            <w:tcW w:w="1550" w:type="dxa"/>
            <w:tcBorders>
              <w:right w:val="single" w:sz="18" w:space="0" w:color="auto"/>
            </w:tcBorders>
            <w:vAlign w:val="center"/>
          </w:tcPr>
          <w:p w14:paraId="380DBD5D"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96.0%</w:t>
            </w:r>
            <w:r w:rsidRPr="008F2447">
              <w:rPr>
                <w:rFonts w:asciiTheme="majorBidi" w:hAnsiTheme="majorBidi" w:cstheme="majorBidi"/>
                <w:vertAlign w:val="superscript"/>
              </w:rPr>
              <w:t>a,c</w:t>
            </w:r>
          </w:p>
        </w:tc>
        <w:tc>
          <w:tcPr>
            <w:tcW w:w="1550" w:type="dxa"/>
            <w:tcBorders>
              <w:left w:val="single" w:sz="18" w:space="0" w:color="auto"/>
            </w:tcBorders>
            <w:vAlign w:val="center"/>
          </w:tcPr>
          <w:p w14:paraId="0226648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82.1%</w:t>
            </w:r>
            <w:r w:rsidRPr="008F2447">
              <w:rPr>
                <w:rFonts w:asciiTheme="majorBidi" w:hAnsiTheme="majorBidi" w:cstheme="majorBidi"/>
                <w:vertAlign w:val="superscript"/>
              </w:rPr>
              <w:t>b,d</w:t>
            </w:r>
          </w:p>
        </w:tc>
        <w:tc>
          <w:tcPr>
            <w:tcW w:w="1550" w:type="dxa"/>
            <w:vAlign w:val="center"/>
          </w:tcPr>
          <w:p w14:paraId="15EBCE1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91.7%</w:t>
            </w:r>
            <w:r w:rsidRPr="008F2447">
              <w:rPr>
                <w:rFonts w:asciiTheme="majorBidi" w:hAnsiTheme="majorBidi" w:cstheme="majorBidi"/>
                <w:vertAlign w:val="superscript"/>
              </w:rPr>
              <w:t>a</w:t>
            </w:r>
          </w:p>
        </w:tc>
        <w:tc>
          <w:tcPr>
            <w:tcW w:w="1550" w:type="dxa"/>
            <w:vAlign w:val="center"/>
          </w:tcPr>
          <w:p w14:paraId="124EE90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87.2%</w:t>
            </w:r>
          </w:p>
        </w:tc>
        <w:tc>
          <w:tcPr>
            <w:tcW w:w="1550" w:type="dxa"/>
            <w:tcBorders>
              <w:right w:val="nil"/>
            </w:tcBorders>
            <w:vAlign w:val="center"/>
          </w:tcPr>
          <w:p w14:paraId="784FA99B"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92.6%</w:t>
            </w:r>
            <w:r w:rsidRPr="008F2447">
              <w:rPr>
                <w:rFonts w:asciiTheme="majorBidi" w:hAnsiTheme="majorBidi" w:cstheme="majorBidi"/>
                <w:vertAlign w:val="superscript"/>
              </w:rPr>
              <w:t>a</w:t>
            </w:r>
          </w:p>
        </w:tc>
      </w:tr>
      <w:tr w:rsidR="001E0057" w:rsidRPr="008F2447" w14:paraId="34CD8953" w14:textId="77777777" w:rsidTr="003011AA">
        <w:tc>
          <w:tcPr>
            <w:tcW w:w="1550" w:type="dxa"/>
            <w:tcBorders>
              <w:left w:val="nil"/>
            </w:tcBorders>
            <w:vAlign w:val="center"/>
          </w:tcPr>
          <w:p w14:paraId="33396D4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Hip Osteoporosis/</w:t>
            </w:r>
            <w:r w:rsidRPr="008F2447">
              <w:rPr>
                <w:rFonts w:asciiTheme="majorBidi" w:hAnsiTheme="majorBidi" w:cstheme="majorBidi"/>
              </w:rPr>
              <w:lastRenderedPageBreak/>
              <w:t>Osteopenia (%)*</w:t>
            </w:r>
          </w:p>
        </w:tc>
        <w:tc>
          <w:tcPr>
            <w:tcW w:w="1550" w:type="dxa"/>
            <w:vAlign w:val="center"/>
          </w:tcPr>
          <w:p w14:paraId="3D230AD3"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lastRenderedPageBreak/>
              <w:t>24.5%</w:t>
            </w:r>
            <w:r w:rsidRPr="008F2447">
              <w:rPr>
                <w:rFonts w:asciiTheme="majorBidi" w:hAnsiTheme="majorBidi" w:cstheme="majorBidi"/>
                <w:vertAlign w:val="superscript"/>
              </w:rPr>
              <w:t>b,c</w:t>
            </w:r>
          </w:p>
        </w:tc>
        <w:tc>
          <w:tcPr>
            <w:tcW w:w="1550" w:type="dxa"/>
            <w:vAlign w:val="center"/>
          </w:tcPr>
          <w:p w14:paraId="0463110E" w14:textId="77777777" w:rsidR="001E0057" w:rsidRPr="008F2447" w:rsidRDefault="001E0057" w:rsidP="003011AA">
            <w:pPr>
              <w:spacing w:line="480" w:lineRule="auto"/>
              <w:jc w:val="center"/>
              <w:rPr>
                <w:rFonts w:asciiTheme="majorBidi" w:hAnsiTheme="majorBidi" w:cstheme="majorBidi"/>
                <w:vertAlign w:val="subscript"/>
              </w:rPr>
            </w:pPr>
            <w:r w:rsidRPr="008F2447">
              <w:rPr>
                <w:rFonts w:asciiTheme="majorBidi" w:hAnsiTheme="majorBidi" w:cstheme="majorBidi"/>
              </w:rPr>
              <w:t>7.4%</w:t>
            </w:r>
            <w:r w:rsidRPr="008F2447">
              <w:rPr>
                <w:rFonts w:asciiTheme="majorBidi" w:hAnsiTheme="majorBidi" w:cstheme="majorBidi"/>
                <w:vertAlign w:val="superscript"/>
              </w:rPr>
              <w:t>a,c,d</w:t>
            </w:r>
          </w:p>
        </w:tc>
        <w:tc>
          <w:tcPr>
            <w:tcW w:w="1550" w:type="dxa"/>
            <w:vAlign w:val="center"/>
          </w:tcPr>
          <w:p w14:paraId="6791F5BD"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35.6%</w:t>
            </w:r>
            <w:r w:rsidRPr="008F2447">
              <w:rPr>
                <w:rFonts w:asciiTheme="majorBidi" w:hAnsiTheme="majorBidi" w:cstheme="majorBidi"/>
                <w:vertAlign w:val="superscript"/>
              </w:rPr>
              <w:t>a,b,d</w:t>
            </w:r>
          </w:p>
        </w:tc>
        <w:tc>
          <w:tcPr>
            <w:tcW w:w="1550" w:type="dxa"/>
            <w:tcBorders>
              <w:right w:val="single" w:sz="18" w:space="0" w:color="auto"/>
            </w:tcBorders>
            <w:vAlign w:val="center"/>
          </w:tcPr>
          <w:p w14:paraId="658D4194"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18.1%</w:t>
            </w:r>
            <w:r w:rsidRPr="008F2447">
              <w:rPr>
                <w:rFonts w:asciiTheme="majorBidi" w:hAnsiTheme="majorBidi" w:cstheme="majorBidi"/>
                <w:vertAlign w:val="superscript"/>
              </w:rPr>
              <w:t>b,c</w:t>
            </w:r>
          </w:p>
        </w:tc>
        <w:tc>
          <w:tcPr>
            <w:tcW w:w="1550" w:type="dxa"/>
            <w:tcBorders>
              <w:left w:val="single" w:sz="18" w:space="0" w:color="auto"/>
            </w:tcBorders>
            <w:vAlign w:val="center"/>
          </w:tcPr>
          <w:p w14:paraId="7719B68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22.7%</w:t>
            </w:r>
            <w:r w:rsidRPr="008F2447">
              <w:rPr>
                <w:rFonts w:asciiTheme="majorBidi" w:hAnsiTheme="majorBidi" w:cstheme="majorBidi"/>
                <w:vertAlign w:val="superscript"/>
              </w:rPr>
              <w:t>b,c,d</w:t>
            </w:r>
          </w:p>
        </w:tc>
        <w:tc>
          <w:tcPr>
            <w:tcW w:w="1550" w:type="dxa"/>
            <w:vAlign w:val="center"/>
          </w:tcPr>
          <w:p w14:paraId="307BA11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7.6%</w:t>
            </w:r>
            <w:r w:rsidRPr="008F2447">
              <w:rPr>
                <w:rFonts w:asciiTheme="majorBidi" w:hAnsiTheme="majorBidi" w:cstheme="majorBidi"/>
                <w:vertAlign w:val="superscript"/>
              </w:rPr>
              <w:t>a,c</w:t>
            </w:r>
          </w:p>
        </w:tc>
        <w:tc>
          <w:tcPr>
            <w:tcW w:w="1550" w:type="dxa"/>
            <w:vAlign w:val="center"/>
          </w:tcPr>
          <w:p w14:paraId="11DF158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34.8%</w:t>
            </w:r>
            <w:r w:rsidRPr="008F2447">
              <w:rPr>
                <w:rFonts w:asciiTheme="majorBidi" w:hAnsiTheme="majorBidi" w:cstheme="majorBidi"/>
                <w:vertAlign w:val="superscript"/>
              </w:rPr>
              <w:t>a,b,d</w:t>
            </w:r>
          </w:p>
        </w:tc>
        <w:tc>
          <w:tcPr>
            <w:tcW w:w="1550" w:type="dxa"/>
            <w:tcBorders>
              <w:right w:val="nil"/>
            </w:tcBorders>
            <w:vAlign w:val="center"/>
          </w:tcPr>
          <w:p w14:paraId="36494AF6"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11.6%</w:t>
            </w:r>
            <w:r w:rsidRPr="008F2447">
              <w:rPr>
                <w:rFonts w:asciiTheme="majorBidi" w:hAnsiTheme="majorBidi" w:cstheme="majorBidi"/>
                <w:vertAlign w:val="superscript"/>
              </w:rPr>
              <w:t>a,c</w:t>
            </w:r>
          </w:p>
        </w:tc>
      </w:tr>
      <w:tr w:rsidR="001E0057" w:rsidRPr="008F2447" w14:paraId="1156BB47" w14:textId="77777777" w:rsidTr="003011AA">
        <w:tc>
          <w:tcPr>
            <w:tcW w:w="1550" w:type="dxa"/>
            <w:tcBorders>
              <w:left w:val="nil"/>
            </w:tcBorders>
            <w:vAlign w:val="center"/>
          </w:tcPr>
          <w:p w14:paraId="4C19F35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Osteoporosis/Osteopenia (%)*</w:t>
            </w:r>
          </w:p>
        </w:tc>
        <w:tc>
          <w:tcPr>
            <w:tcW w:w="1550" w:type="dxa"/>
            <w:vAlign w:val="center"/>
          </w:tcPr>
          <w:p w14:paraId="1A9947AB"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42.4%</w:t>
            </w:r>
            <w:r w:rsidRPr="008F2447">
              <w:rPr>
                <w:rFonts w:asciiTheme="majorBidi" w:hAnsiTheme="majorBidi" w:cstheme="majorBidi"/>
                <w:vertAlign w:val="superscript"/>
              </w:rPr>
              <w:t>b</w:t>
            </w:r>
          </w:p>
        </w:tc>
        <w:tc>
          <w:tcPr>
            <w:tcW w:w="1550" w:type="dxa"/>
            <w:vAlign w:val="center"/>
          </w:tcPr>
          <w:p w14:paraId="055F36A7"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26.5%</w:t>
            </w:r>
            <w:r w:rsidRPr="008F2447">
              <w:rPr>
                <w:rFonts w:asciiTheme="majorBidi" w:hAnsiTheme="majorBidi" w:cstheme="majorBidi"/>
                <w:vertAlign w:val="superscript"/>
              </w:rPr>
              <w:t>a,c</w:t>
            </w:r>
          </w:p>
        </w:tc>
        <w:tc>
          <w:tcPr>
            <w:tcW w:w="1550" w:type="dxa"/>
            <w:vAlign w:val="center"/>
          </w:tcPr>
          <w:p w14:paraId="30C05BBE"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50.6%</w:t>
            </w:r>
            <w:r w:rsidRPr="008F2447">
              <w:rPr>
                <w:rFonts w:asciiTheme="majorBidi" w:hAnsiTheme="majorBidi" w:cstheme="majorBidi"/>
                <w:vertAlign w:val="superscript"/>
              </w:rPr>
              <w:t>b,d</w:t>
            </w:r>
          </w:p>
        </w:tc>
        <w:tc>
          <w:tcPr>
            <w:tcW w:w="1550" w:type="dxa"/>
            <w:tcBorders>
              <w:right w:val="single" w:sz="18" w:space="0" w:color="auto"/>
            </w:tcBorders>
            <w:vAlign w:val="center"/>
          </w:tcPr>
          <w:p w14:paraId="5E8C4EE7"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33.9%</w:t>
            </w:r>
            <w:r w:rsidRPr="008F2447">
              <w:rPr>
                <w:rFonts w:asciiTheme="majorBidi" w:hAnsiTheme="majorBidi" w:cstheme="majorBidi"/>
                <w:vertAlign w:val="superscript"/>
              </w:rPr>
              <w:t>c</w:t>
            </w:r>
          </w:p>
        </w:tc>
        <w:tc>
          <w:tcPr>
            <w:tcW w:w="1550" w:type="dxa"/>
            <w:tcBorders>
              <w:left w:val="single" w:sz="18" w:space="0" w:color="auto"/>
            </w:tcBorders>
            <w:vAlign w:val="center"/>
          </w:tcPr>
          <w:p w14:paraId="47BBEDA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40.3%</w:t>
            </w:r>
            <w:r w:rsidRPr="008F2447">
              <w:rPr>
                <w:rFonts w:asciiTheme="majorBidi" w:hAnsiTheme="majorBidi" w:cstheme="majorBidi"/>
                <w:vertAlign w:val="superscript"/>
              </w:rPr>
              <w:t>b</w:t>
            </w:r>
          </w:p>
        </w:tc>
        <w:tc>
          <w:tcPr>
            <w:tcW w:w="1550" w:type="dxa"/>
            <w:vAlign w:val="center"/>
          </w:tcPr>
          <w:p w14:paraId="0F99E60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26.9%</w:t>
            </w:r>
            <w:r w:rsidRPr="008F2447">
              <w:rPr>
                <w:rFonts w:asciiTheme="majorBidi" w:hAnsiTheme="majorBidi" w:cstheme="majorBidi"/>
                <w:vertAlign w:val="superscript"/>
              </w:rPr>
              <w:t>a,c</w:t>
            </w:r>
          </w:p>
        </w:tc>
        <w:tc>
          <w:tcPr>
            <w:tcW w:w="1550" w:type="dxa"/>
            <w:vAlign w:val="center"/>
          </w:tcPr>
          <w:p w14:paraId="1E1B899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50.8%</w:t>
            </w:r>
            <w:r w:rsidRPr="008F2447">
              <w:rPr>
                <w:rFonts w:asciiTheme="majorBidi" w:hAnsiTheme="majorBidi" w:cstheme="majorBidi"/>
                <w:vertAlign w:val="superscript"/>
              </w:rPr>
              <w:t>b,d</w:t>
            </w:r>
          </w:p>
        </w:tc>
        <w:tc>
          <w:tcPr>
            <w:tcW w:w="1550" w:type="dxa"/>
            <w:tcBorders>
              <w:right w:val="nil"/>
            </w:tcBorders>
            <w:vAlign w:val="center"/>
          </w:tcPr>
          <w:p w14:paraId="217B46C5"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29.7%</w:t>
            </w:r>
            <w:r w:rsidRPr="008F2447">
              <w:rPr>
                <w:rFonts w:asciiTheme="majorBidi" w:hAnsiTheme="majorBidi" w:cstheme="majorBidi"/>
                <w:vertAlign w:val="superscript"/>
              </w:rPr>
              <w:t>c</w:t>
            </w:r>
          </w:p>
        </w:tc>
      </w:tr>
      <w:tr w:rsidR="001E0057" w:rsidRPr="008F2447" w14:paraId="1D6FFEE1" w14:textId="77777777" w:rsidTr="003011AA">
        <w:tc>
          <w:tcPr>
            <w:tcW w:w="1550" w:type="dxa"/>
            <w:tcBorders>
              <w:left w:val="nil"/>
            </w:tcBorders>
            <w:vAlign w:val="center"/>
          </w:tcPr>
          <w:p w14:paraId="475B3FC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Alcohol intake (g/day)</w:t>
            </w:r>
          </w:p>
        </w:tc>
        <w:tc>
          <w:tcPr>
            <w:tcW w:w="1550" w:type="dxa"/>
            <w:vAlign w:val="center"/>
          </w:tcPr>
          <w:p w14:paraId="12A981F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16.4 </w:t>
            </w:r>
            <w:r w:rsidRPr="008F2447">
              <w:rPr>
                <w:rFonts w:asciiTheme="majorBidi" w:hAnsiTheme="majorBidi" w:cstheme="majorBidi"/>
                <w:color w:val="000000"/>
              </w:rPr>
              <w:t>± 19.9</w:t>
            </w:r>
          </w:p>
        </w:tc>
        <w:tc>
          <w:tcPr>
            <w:tcW w:w="1550" w:type="dxa"/>
            <w:vAlign w:val="center"/>
          </w:tcPr>
          <w:p w14:paraId="0BECAD9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14.5 </w:t>
            </w:r>
            <w:r w:rsidRPr="008F2447">
              <w:rPr>
                <w:rFonts w:asciiTheme="majorBidi" w:hAnsiTheme="majorBidi" w:cstheme="majorBidi"/>
                <w:color w:val="000000"/>
              </w:rPr>
              <w:t>± 18.1</w:t>
            </w:r>
          </w:p>
        </w:tc>
        <w:tc>
          <w:tcPr>
            <w:tcW w:w="1550" w:type="dxa"/>
            <w:vAlign w:val="center"/>
          </w:tcPr>
          <w:p w14:paraId="11CB414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12.8 </w:t>
            </w:r>
            <w:r w:rsidRPr="008F2447">
              <w:rPr>
                <w:rFonts w:asciiTheme="majorBidi" w:hAnsiTheme="majorBidi" w:cstheme="majorBidi"/>
                <w:color w:val="000000"/>
              </w:rPr>
              <w:t>± 17.6</w:t>
            </w:r>
          </w:p>
        </w:tc>
        <w:tc>
          <w:tcPr>
            <w:tcW w:w="1550" w:type="dxa"/>
            <w:tcBorders>
              <w:right w:val="single" w:sz="18" w:space="0" w:color="auto"/>
            </w:tcBorders>
            <w:vAlign w:val="center"/>
          </w:tcPr>
          <w:p w14:paraId="3D953EE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14.2 </w:t>
            </w:r>
            <w:r w:rsidRPr="008F2447">
              <w:rPr>
                <w:rFonts w:asciiTheme="majorBidi" w:hAnsiTheme="majorBidi" w:cstheme="majorBidi"/>
                <w:color w:val="000000"/>
              </w:rPr>
              <w:t>±21.5</w:t>
            </w:r>
          </w:p>
        </w:tc>
        <w:tc>
          <w:tcPr>
            <w:tcW w:w="1550" w:type="dxa"/>
            <w:tcBorders>
              <w:left w:val="single" w:sz="18" w:space="0" w:color="auto"/>
            </w:tcBorders>
            <w:vAlign w:val="center"/>
          </w:tcPr>
          <w:p w14:paraId="219BF20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16.2 </w:t>
            </w:r>
            <w:r w:rsidRPr="008F2447">
              <w:rPr>
                <w:rFonts w:asciiTheme="majorBidi" w:hAnsiTheme="majorBidi" w:cstheme="majorBidi"/>
                <w:color w:val="000000"/>
              </w:rPr>
              <w:t>± 19.1</w:t>
            </w:r>
          </w:p>
        </w:tc>
        <w:tc>
          <w:tcPr>
            <w:tcW w:w="1550" w:type="dxa"/>
            <w:vAlign w:val="center"/>
          </w:tcPr>
          <w:p w14:paraId="76A0A78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16.9 </w:t>
            </w:r>
            <w:r w:rsidRPr="008F2447">
              <w:rPr>
                <w:rFonts w:asciiTheme="majorBidi" w:hAnsiTheme="majorBidi" w:cstheme="majorBidi"/>
                <w:color w:val="000000"/>
              </w:rPr>
              <w:t>± 21.2</w:t>
            </w:r>
          </w:p>
        </w:tc>
        <w:tc>
          <w:tcPr>
            <w:tcW w:w="1550" w:type="dxa"/>
            <w:vAlign w:val="center"/>
          </w:tcPr>
          <w:p w14:paraId="0C4877C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 xml:space="preserve">14.0 </w:t>
            </w:r>
            <w:r w:rsidRPr="008F2447">
              <w:rPr>
                <w:rFonts w:asciiTheme="majorBidi" w:hAnsiTheme="majorBidi" w:cstheme="majorBidi"/>
                <w:color w:val="000000"/>
              </w:rPr>
              <w:t>± 19.9</w:t>
            </w:r>
          </w:p>
        </w:tc>
        <w:tc>
          <w:tcPr>
            <w:tcW w:w="1550" w:type="dxa"/>
            <w:tcBorders>
              <w:right w:val="nil"/>
            </w:tcBorders>
            <w:vAlign w:val="center"/>
          </w:tcPr>
          <w:p w14:paraId="5327157B"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 xml:space="preserve">11.1 </w:t>
            </w:r>
            <w:r w:rsidRPr="008F2447">
              <w:rPr>
                <w:rFonts w:asciiTheme="majorBidi" w:hAnsiTheme="majorBidi" w:cstheme="majorBidi"/>
                <w:color w:val="000000"/>
              </w:rPr>
              <w:t>± 15.6</w:t>
            </w:r>
          </w:p>
        </w:tc>
      </w:tr>
      <w:tr w:rsidR="001E0057" w:rsidRPr="008F2447" w14:paraId="147EB1D5" w14:textId="77777777" w:rsidTr="003011AA">
        <w:tc>
          <w:tcPr>
            <w:tcW w:w="1550" w:type="dxa"/>
            <w:tcBorders>
              <w:left w:val="nil"/>
            </w:tcBorders>
            <w:vAlign w:val="center"/>
          </w:tcPr>
          <w:p w14:paraId="6C91C67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Physical activity (steps/day)</w:t>
            </w:r>
          </w:p>
        </w:tc>
        <w:tc>
          <w:tcPr>
            <w:tcW w:w="1550" w:type="dxa"/>
            <w:vAlign w:val="center"/>
          </w:tcPr>
          <w:p w14:paraId="2F78B7ED"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9646</w:t>
            </w:r>
            <w:r w:rsidRPr="008F2447">
              <w:rPr>
                <w:rFonts w:asciiTheme="majorBidi" w:hAnsiTheme="majorBidi" w:cstheme="majorBidi"/>
                <w:color w:val="000000"/>
              </w:rPr>
              <w:t>±3281</w:t>
            </w:r>
            <w:r w:rsidRPr="008F2447">
              <w:rPr>
                <w:rFonts w:asciiTheme="majorBidi" w:hAnsiTheme="majorBidi" w:cstheme="majorBidi"/>
                <w:color w:val="000000"/>
                <w:vertAlign w:val="superscript"/>
              </w:rPr>
              <w:t>b,c,d</w:t>
            </w:r>
          </w:p>
        </w:tc>
        <w:tc>
          <w:tcPr>
            <w:tcW w:w="1550" w:type="dxa"/>
            <w:vAlign w:val="center"/>
          </w:tcPr>
          <w:p w14:paraId="4534C528"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7862</w:t>
            </w:r>
            <w:r w:rsidRPr="008F2447">
              <w:rPr>
                <w:rFonts w:asciiTheme="majorBidi" w:hAnsiTheme="majorBidi" w:cstheme="majorBidi"/>
                <w:color w:val="000000"/>
              </w:rPr>
              <w:t>±3355</w:t>
            </w:r>
            <w:r w:rsidRPr="008F2447">
              <w:rPr>
                <w:rFonts w:asciiTheme="majorBidi" w:hAnsiTheme="majorBidi" w:cstheme="majorBidi"/>
                <w:color w:val="000000"/>
                <w:vertAlign w:val="superscript"/>
              </w:rPr>
              <w:t>a</w:t>
            </w:r>
          </w:p>
        </w:tc>
        <w:tc>
          <w:tcPr>
            <w:tcW w:w="1550" w:type="dxa"/>
            <w:vAlign w:val="center"/>
          </w:tcPr>
          <w:p w14:paraId="147C6301"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8133</w:t>
            </w:r>
            <w:r w:rsidRPr="008F2447">
              <w:rPr>
                <w:rFonts w:asciiTheme="majorBidi" w:hAnsiTheme="majorBidi" w:cstheme="majorBidi"/>
                <w:color w:val="000000"/>
              </w:rPr>
              <w:t>±3082</w:t>
            </w:r>
            <w:r w:rsidRPr="008F2447">
              <w:rPr>
                <w:rFonts w:asciiTheme="majorBidi" w:hAnsiTheme="majorBidi" w:cstheme="majorBidi"/>
                <w:color w:val="000000"/>
                <w:vertAlign w:val="superscript"/>
              </w:rPr>
              <w:t>a</w:t>
            </w:r>
          </w:p>
        </w:tc>
        <w:tc>
          <w:tcPr>
            <w:tcW w:w="1550" w:type="dxa"/>
            <w:tcBorders>
              <w:right w:val="single" w:sz="18" w:space="0" w:color="auto"/>
            </w:tcBorders>
            <w:vAlign w:val="center"/>
          </w:tcPr>
          <w:p w14:paraId="02EEDE2E"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7458</w:t>
            </w:r>
            <w:r w:rsidRPr="008F2447">
              <w:rPr>
                <w:rFonts w:asciiTheme="majorBidi" w:hAnsiTheme="majorBidi" w:cstheme="majorBidi"/>
                <w:color w:val="000000"/>
              </w:rPr>
              <w:t>±3071</w:t>
            </w:r>
            <w:r w:rsidRPr="008F2447">
              <w:rPr>
                <w:rFonts w:asciiTheme="majorBidi" w:hAnsiTheme="majorBidi" w:cstheme="majorBidi"/>
                <w:color w:val="000000"/>
                <w:vertAlign w:val="superscript"/>
              </w:rPr>
              <w:t>a</w:t>
            </w:r>
          </w:p>
        </w:tc>
        <w:tc>
          <w:tcPr>
            <w:tcW w:w="1550" w:type="dxa"/>
            <w:tcBorders>
              <w:left w:val="single" w:sz="18" w:space="0" w:color="auto"/>
            </w:tcBorders>
            <w:vAlign w:val="center"/>
          </w:tcPr>
          <w:p w14:paraId="20CE42C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9723</w:t>
            </w:r>
            <w:r w:rsidRPr="008F2447">
              <w:rPr>
                <w:rFonts w:asciiTheme="majorBidi" w:hAnsiTheme="majorBidi" w:cstheme="majorBidi"/>
                <w:color w:val="000000"/>
              </w:rPr>
              <w:t>±3099</w:t>
            </w:r>
            <w:r w:rsidRPr="008F2447">
              <w:rPr>
                <w:rFonts w:asciiTheme="majorBidi" w:hAnsiTheme="majorBidi" w:cstheme="majorBidi"/>
                <w:color w:val="000000"/>
                <w:vertAlign w:val="superscript"/>
              </w:rPr>
              <w:t>b,c,d</w:t>
            </w:r>
          </w:p>
        </w:tc>
        <w:tc>
          <w:tcPr>
            <w:tcW w:w="1550" w:type="dxa"/>
            <w:vAlign w:val="center"/>
          </w:tcPr>
          <w:p w14:paraId="23E3E13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8097</w:t>
            </w:r>
            <w:r w:rsidRPr="008F2447">
              <w:rPr>
                <w:rFonts w:asciiTheme="majorBidi" w:hAnsiTheme="majorBidi" w:cstheme="majorBidi"/>
                <w:color w:val="000000"/>
              </w:rPr>
              <w:t>±3233</w:t>
            </w:r>
            <w:r w:rsidRPr="008F2447">
              <w:rPr>
                <w:rFonts w:asciiTheme="majorBidi" w:hAnsiTheme="majorBidi" w:cstheme="majorBidi"/>
                <w:color w:val="000000"/>
                <w:vertAlign w:val="superscript"/>
              </w:rPr>
              <w:t>a</w:t>
            </w:r>
          </w:p>
        </w:tc>
        <w:tc>
          <w:tcPr>
            <w:tcW w:w="1550" w:type="dxa"/>
            <w:vAlign w:val="center"/>
          </w:tcPr>
          <w:p w14:paraId="784422E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8328</w:t>
            </w:r>
            <w:r w:rsidRPr="008F2447">
              <w:rPr>
                <w:rFonts w:asciiTheme="majorBidi" w:hAnsiTheme="majorBidi" w:cstheme="majorBidi"/>
                <w:color w:val="000000"/>
              </w:rPr>
              <w:t>±3474</w:t>
            </w:r>
            <w:r w:rsidRPr="008F2447">
              <w:rPr>
                <w:rFonts w:asciiTheme="majorBidi" w:hAnsiTheme="majorBidi" w:cstheme="majorBidi"/>
                <w:color w:val="000000"/>
                <w:vertAlign w:val="superscript"/>
              </w:rPr>
              <w:t>a,d</w:t>
            </w:r>
          </w:p>
        </w:tc>
        <w:tc>
          <w:tcPr>
            <w:tcW w:w="1550" w:type="dxa"/>
            <w:tcBorders>
              <w:right w:val="nil"/>
            </w:tcBorders>
            <w:vAlign w:val="center"/>
          </w:tcPr>
          <w:p w14:paraId="68FB8734"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7284</w:t>
            </w:r>
            <w:r w:rsidRPr="008F2447">
              <w:rPr>
                <w:rFonts w:asciiTheme="majorBidi" w:hAnsiTheme="majorBidi" w:cstheme="majorBidi"/>
                <w:color w:val="000000"/>
              </w:rPr>
              <w:t>±3359</w:t>
            </w:r>
            <w:r w:rsidRPr="008F2447">
              <w:rPr>
                <w:rFonts w:asciiTheme="majorBidi" w:hAnsiTheme="majorBidi" w:cstheme="majorBidi"/>
                <w:color w:val="000000"/>
                <w:vertAlign w:val="superscript"/>
              </w:rPr>
              <w:t>a,c</w:t>
            </w:r>
          </w:p>
        </w:tc>
      </w:tr>
      <w:tr w:rsidR="001E0057" w:rsidRPr="008F2447" w14:paraId="604F4A72" w14:textId="77777777" w:rsidTr="003011AA">
        <w:tc>
          <w:tcPr>
            <w:tcW w:w="1550" w:type="dxa"/>
            <w:tcBorders>
              <w:left w:val="nil"/>
            </w:tcBorders>
            <w:vAlign w:val="center"/>
          </w:tcPr>
          <w:p w14:paraId="5B78E6F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Energy intake (kJ/day)</w:t>
            </w:r>
          </w:p>
        </w:tc>
        <w:tc>
          <w:tcPr>
            <w:tcW w:w="1550" w:type="dxa"/>
            <w:vAlign w:val="center"/>
          </w:tcPr>
          <w:p w14:paraId="48422AA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7730</w:t>
            </w:r>
            <w:r w:rsidRPr="008F2447">
              <w:rPr>
                <w:rFonts w:asciiTheme="majorBidi" w:hAnsiTheme="majorBidi" w:cstheme="majorBidi"/>
                <w:color w:val="000000"/>
              </w:rPr>
              <w:t>±2849</w:t>
            </w:r>
          </w:p>
        </w:tc>
        <w:tc>
          <w:tcPr>
            <w:tcW w:w="1550" w:type="dxa"/>
            <w:vAlign w:val="center"/>
          </w:tcPr>
          <w:p w14:paraId="2D6A87E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7807</w:t>
            </w:r>
            <w:r w:rsidRPr="008F2447">
              <w:rPr>
                <w:rFonts w:asciiTheme="majorBidi" w:hAnsiTheme="majorBidi" w:cstheme="majorBidi"/>
                <w:color w:val="000000"/>
              </w:rPr>
              <w:t>±2880</w:t>
            </w:r>
          </w:p>
        </w:tc>
        <w:tc>
          <w:tcPr>
            <w:tcW w:w="1550" w:type="dxa"/>
            <w:vAlign w:val="center"/>
          </w:tcPr>
          <w:p w14:paraId="6AED91B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7509</w:t>
            </w:r>
            <w:r w:rsidRPr="008F2447">
              <w:rPr>
                <w:rFonts w:asciiTheme="majorBidi" w:hAnsiTheme="majorBidi" w:cstheme="majorBidi"/>
                <w:color w:val="000000"/>
              </w:rPr>
              <w:t>±2723</w:t>
            </w:r>
          </w:p>
        </w:tc>
        <w:tc>
          <w:tcPr>
            <w:tcW w:w="1550" w:type="dxa"/>
            <w:tcBorders>
              <w:right w:val="single" w:sz="18" w:space="0" w:color="auto"/>
            </w:tcBorders>
            <w:vAlign w:val="center"/>
          </w:tcPr>
          <w:p w14:paraId="36FB4A8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7532</w:t>
            </w:r>
            <w:r w:rsidRPr="008F2447">
              <w:rPr>
                <w:rFonts w:asciiTheme="majorBidi" w:hAnsiTheme="majorBidi" w:cstheme="majorBidi"/>
                <w:color w:val="000000"/>
              </w:rPr>
              <w:t>±2911</w:t>
            </w:r>
          </w:p>
        </w:tc>
        <w:tc>
          <w:tcPr>
            <w:tcW w:w="1550" w:type="dxa"/>
            <w:tcBorders>
              <w:left w:val="single" w:sz="18" w:space="0" w:color="auto"/>
            </w:tcBorders>
            <w:vAlign w:val="center"/>
          </w:tcPr>
          <w:p w14:paraId="616625F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7808</w:t>
            </w:r>
            <w:r w:rsidRPr="008F2447">
              <w:rPr>
                <w:rFonts w:asciiTheme="majorBidi" w:hAnsiTheme="majorBidi" w:cstheme="majorBidi"/>
                <w:color w:val="000000"/>
              </w:rPr>
              <w:t>±2896</w:t>
            </w:r>
          </w:p>
        </w:tc>
        <w:tc>
          <w:tcPr>
            <w:tcW w:w="1550" w:type="dxa"/>
            <w:vAlign w:val="center"/>
          </w:tcPr>
          <w:p w14:paraId="26CBF65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7801</w:t>
            </w:r>
            <w:r w:rsidRPr="008F2447">
              <w:rPr>
                <w:rFonts w:asciiTheme="majorBidi" w:hAnsiTheme="majorBidi" w:cstheme="majorBidi"/>
                <w:color w:val="000000"/>
              </w:rPr>
              <w:t>±2812</w:t>
            </w:r>
          </w:p>
        </w:tc>
        <w:tc>
          <w:tcPr>
            <w:tcW w:w="1550" w:type="dxa"/>
            <w:vAlign w:val="center"/>
          </w:tcPr>
          <w:p w14:paraId="79B6072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7435</w:t>
            </w:r>
            <w:r w:rsidRPr="008F2447">
              <w:rPr>
                <w:rFonts w:asciiTheme="majorBidi" w:hAnsiTheme="majorBidi" w:cstheme="majorBidi"/>
                <w:color w:val="000000"/>
              </w:rPr>
              <w:t>±2825</w:t>
            </w:r>
          </w:p>
        </w:tc>
        <w:tc>
          <w:tcPr>
            <w:tcW w:w="1550" w:type="dxa"/>
            <w:tcBorders>
              <w:right w:val="nil"/>
            </w:tcBorders>
            <w:vAlign w:val="center"/>
          </w:tcPr>
          <w:p w14:paraId="573D28B3"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7561</w:t>
            </w:r>
            <w:r w:rsidRPr="008F2447">
              <w:rPr>
                <w:rFonts w:asciiTheme="majorBidi" w:hAnsiTheme="majorBidi" w:cstheme="majorBidi"/>
                <w:color w:val="000000"/>
              </w:rPr>
              <w:t>±2990</w:t>
            </w:r>
          </w:p>
        </w:tc>
      </w:tr>
      <w:tr w:rsidR="001E0057" w:rsidRPr="008F2447" w14:paraId="4C70D49A" w14:textId="77777777" w:rsidTr="003011AA">
        <w:tc>
          <w:tcPr>
            <w:tcW w:w="1550" w:type="dxa"/>
            <w:tcBorders>
              <w:left w:val="nil"/>
            </w:tcBorders>
            <w:vAlign w:val="center"/>
          </w:tcPr>
          <w:p w14:paraId="5CE7D51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BMI (kg/m</w:t>
            </w:r>
            <w:r w:rsidRPr="008F2447">
              <w:rPr>
                <w:rFonts w:asciiTheme="majorBidi" w:hAnsiTheme="majorBidi" w:cstheme="majorBidi"/>
                <w:vertAlign w:val="superscript"/>
              </w:rPr>
              <w:t>2</w:t>
            </w:r>
            <w:r w:rsidRPr="008F2447">
              <w:rPr>
                <w:rFonts w:asciiTheme="majorBidi" w:hAnsiTheme="majorBidi" w:cstheme="majorBidi"/>
              </w:rPr>
              <w:t>)</w:t>
            </w:r>
          </w:p>
        </w:tc>
        <w:tc>
          <w:tcPr>
            <w:tcW w:w="1550" w:type="dxa"/>
            <w:vAlign w:val="center"/>
          </w:tcPr>
          <w:p w14:paraId="44E615B1"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25.8</w:t>
            </w:r>
            <w:r w:rsidRPr="008F2447">
              <w:rPr>
                <w:rFonts w:asciiTheme="majorBidi" w:hAnsiTheme="majorBidi" w:cstheme="majorBidi"/>
                <w:color w:val="000000"/>
              </w:rPr>
              <w:t>±2.8</w:t>
            </w:r>
            <w:r w:rsidRPr="008F2447">
              <w:rPr>
                <w:rFonts w:asciiTheme="majorBidi" w:hAnsiTheme="majorBidi" w:cstheme="majorBidi"/>
                <w:color w:val="000000"/>
                <w:vertAlign w:val="superscript"/>
              </w:rPr>
              <w:t>b,c,d</w:t>
            </w:r>
          </w:p>
        </w:tc>
        <w:tc>
          <w:tcPr>
            <w:tcW w:w="1550" w:type="dxa"/>
            <w:vAlign w:val="center"/>
          </w:tcPr>
          <w:p w14:paraId="49DAEE55"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33.0</w:t>
            </w:r>
            <w:r w:rsidRPr="008F2447">
              <w:rPr>
                <w:rFonts w:asciiTheme="majorBidi" w:hAnsiTheme="majorBidi" w:cstheme="majorBidi"/>
                <w:color w:val="000000"/>
              </w:rPr>
              <w:t>±3.8</w:t>
            </w:r>
            <w:r w:rsidRPr="008F2447">
              <w:rPr>
                <w:rFonts w:asciiTheme="majorBidi" w:hAnsiTheme="majorBidi" w:cstheme="majorBidi"/>
                <w:color w:val="000000"/>
                <w:vertAlign w:val="superscript"/>
              </w:rPr>
              <w:t>a,c,d</w:t>
            </w:r>
          </w:p>
        </w:tc>
        <w:tc>
          <w:tcPr>
            <w:tcW w:w="1550" w:type="dxa"/>
            <w:vAlign w:val="center"/>
          </w:tcPr>
          <w:p w14:paraId="6EF61435"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24.3</w:t>
            </w:r>
            <w:r w:rsidRPr="008F2447">
              <w:rPr>
                <w:rFonts w:asciiTheme="majorBidi" w:hAnsiTheme="majorBidi" w:cstheme="majorBidi"/>
                <w:color w:val="000000"/>
              </w:rPr>
              <w:t>±2.2</w:t>
            </w:r>
            <w:r w:rsidRPr="008F2447">
              <w:rPr>
                <w:rFonts w:asciiTheme="majorBidi" w:hAnsiTheme="majorBidi" w:cstheme="majorBidi"/>
                <w:color w:val="000000"/>
                <w:vertAlign w:val="superscript"/>
              </w:rPr>
              <w:t>a,b,d</w:t>
            </w:r>
          </w:p>
        </w:tc>
        <w:tc>
          <w:tcPr>
            <w:tcW w:w="1550" w:type="dxa"/>
            <w:tcBorders>
              <w:right w:val="single" w:sz="18" w:space="0" w:color="auto"/>
            </w:tcBorders>
            <w:vAlign w:val="center"/>
          </w:tcPr>
          <w:p w14:paraId="71723395"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30.5</w:t>
            </w:r>
            <w:r w:rsidRPr="008F2447">
              <w:rPr>
                <w:rFonts w:asciiTheme="majorBidi" w:hAnsiTheme="majorBidi" w:cstheme="majorBidi"/>
                <w:color w:val="000000"/>
              </w:rPr>
              <w:t>±3.7</w:t>
            </w:r>
            <w:r w:rsidRPr="008F2447">
              <w:rPr>
                <w:rFonts w:asciiTheme="majorBidi" w:hAnsiTheme="majorBidi" w:cstheme="majorBidi"/>
                <w:color w:val="000000"/>
                <w:vertAlign w:val="superscript"/>
              </w:rPr>
              <w:t>a,b,c</w:t>
            </w:r>
          </w:p>
        </w:tc>
        <w:tc>
          <w:tcPr>
            <w:tcW w:w="1550" w:type="dxa"/>
            <w:tcBorders>
              <w:left w:val="single" w:sz="18" w:space="0" w:color="auto"/>
            </w:tcBorders>
            <w:vAlign w:val="center"/>
          </w:tcPr>
          <w:p w14:paraId="4531BE8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25.4</w:t>
            </w:r>
            <w:r w:rsidRPr="008F2447">
              <w:rPr>
                <w:rFonts w:asciiTheme="majorBidi" w:hAnsiTheme="majorBidi" w:cstheme="majorBidi"/>
                <w:color w:val="000000"/>
              </w:rPr>
              <w:t>±2.6</w:t>
            </w:r>
            <w:r w:rsidRPr="008F2447">
              <w:rPr>
                <w:rFonts w:asciiTheme="majorBidi" w:hAnsiTheme="majorBidi" w:cstheme="majorBidi"/>
                <w:color w:val="000000"/>
                <w:vertAlign w:val="superscript"/>
              </w:rPr>
              <w:t>b,d</w:t>
            </w:r>
          </w:p>
        </w:tc>
        <w:tc>
          <w:tcPr>
            <w:tcW w:w="1550" w:type="dxa"/>
            <w:vAlign w:val="center"/>
          </w:tcPr>
          <w:p w14:paraId="20684F4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32.1</w:t>
            </w:r>
            <w:r w:rsidRPr="008F2447">
              <w:rPr>
                <w:rFonts w:asciiTheme="majorBidi" w:hAnsiTheme="majorBidi" w:cstheme="majorBidi"/>
                <w:color w:val="000000"/>
              </w:rPr>
              <w:t>±3.5</w:t>
            </w:r>
            <w:r w:rsidRPr="008F2447">
              <w:rPr>
                <w:rFonts w:asciiTheme="majorBidi" w:hAnsiTheme="majorBidi" w:cstheme="majorBidi"/>
                <w:color w:val="000000"/>
                <w:vertAlign w:val="superscript"/>
              </w:rPr>
              <w:t>a,c</w:t>
            </w:r>
          </w:p>
        </w:tc>
        <w:tc>
          <w:tcPr>
            <w:tcW w:w="1550" w:type="dxa"/>
            <w:vAlign w:val="center"/>
          </w:tcPr>
          <w:p w14:paraId="5CB68D7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25.2</w:t>
            </w:r>
            <w:r w:rsidRPr="008F2447">
              <w:rPr>
                <w:rFonts w:asciiTheme="majorBidi" w:hAnsiTheme="majorBidi" w:cstheme="majorBidi"/>
                <w:color w:val="000000"/>
              </w:rPr>
              <w:t>±2.9</w:t>
            </w:r>
            <w:r w:rsidRPr="008F2447">
              <w:rPr>
                <w:rFonts w:asciiTheme="majorBidi" w:hAnsiTheme="majorBidi" w:cstheme="majorBidi"/>
                <w:color w:val="000000"/>
                <w:vertAlign w:val="superscript"/>
              </w:rPr>
              <w:t>b,d</w:t>
            </w:r>
          </w:p>
        </w:tc>
        <w:tc>
          <w:tcPr>
            <w:tcW w:w="1550" w:type="dxa"/>
            <w:tcBorders>
              <w:right w:val="nil"/>
            </w:tcBorders>
            <w:vAlign w:val="center"/>
          </w:tcPr>
          <w:p w14:paraId="625E0849"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32.3</w:t>
            </w:r>
            <w:r w:rsidRPr="008F2447">
              <w:rPr>
                <w:rFonts w:asciiTheme="majorBidi" w:hAnsiTheme="majorBidi" w:cstheme="majorBidi"/>
                <w:color w:val="000000"/>
              </w:rPr>
              <w:t>±4.7</w:t>
            </w:r>
            <w:r w:rsidRPr="008F2447">
              <w:rPr>
                <w:rFonts w:asciiTheme="majorBidi" w:hAnsiTheme="majorBidi" w:cstheme="majorBidi"/>
                <w:color w:val="000000"/>
                <w:vertAlign w:val="superscript"/>
              </w:rPr>
              <w:t>a,c</w:t>
            </w:r>
          </w:p>
        </w:tc>
      </w:tr>
      <w:tr w:rsidR="001E0057" w:rsidRPr="008F2447" w14:paraId="5573AA60" w14:textId="77777777" w:rsidTr="003011AA">
        <w:tc>
          <w:tcPr>
            <w:tcW w:w="1550" w:type="dxa"/>
            <w:tcBorders>
              <w:left w:val="nil"/>
            </w:tcBorders>
            <w:vAlign w:val="center"/>
          </w:tcPr>
          <w:p w14:paraId="1F98E9F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lastRenderedPageBreak/>
              <w:t>Waist circumference (cm)</w:t>
            </w:r>
          </w:p>
        </w:tc>
        <w:tc>
          <w:tcPr>
            <w:tcW w:w="1550" w:type="dxa"/>
            <w:vAlign w:val="center"/>
          </w:tcPr>
          <w:p w14:paraId="48558B24"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88.4</w:t>
            </w:r>
            <w:r w:rsidRPr="008F2447">
              <w:rPr>
                <w:rFonts w:asciiTheme="majorBidi" w:hAnsiTheme="majorBidi" w:cstheme="majorBidi"/>
                <w:color w:val="000000"/>
              </w:rPr>
              <w:t>±10.1</w:t>
            </w:r>
            <w:r w:rsidRPr="008F2447">
              <w:rPr>
                <w:rFonts w:asciiTheme="majorBidi" w:hAnsiTheme="majorBidi" w:cstheme="majorBidi"/>
                <w:color w:val="000000"/>
                <w:vertAlign w:val="superscript"/>
              </w:rPr>
              <w:t>b,c,d</w:t>
            </w:r>
          </w:p>
        </w:tc>
        <w:tc>
          <w:tcPr>
            <w:tcW w:w="1550" w:type="dxa"/>
            <w:vAlign w:val="center"/>
          </w:tcPr>
          <w:p w14:paraId="14C7C410"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106.0</w:t>
            </w:r>
            <w:r w:rsidRPr="008F2447">
              <w:rPr>
                <w:rFonts w:asciiTheme="majorBidi" w:hAnsiTheme="majorBidi" w:cstheme="majorBidi"/>
                <w:color w:val="000000"/>
              </w:rPr>
              <w:t>±9.8</w:t>
            </w:r>
            <w:r w:rsidRPr="008F2447">
              <w:rPr>
                <w:rFonts w:asciiTheme="majorBidi" w:hAnsiTheme="majorBidi" w:cstheme="majorBidi"/>
                <w:color w:val="000000"/>
                <w:vertAlign w:val="superscript"/>
              </w:rPr>
              <w:t>a,c,d</w:t>
            </w:r>
          </w:p>
        </w:tc>
        <w:tc>
          <w:tcPr>
            <w:tcW w:w="1550" w:type="dxa"/>
            <w:vAlign w:val="center"/>
          </w:tcPr>
          <w:p w14:paraId="4EB96770"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86.0</w:t>
            </w:r>
            <w:r w:rsidRPr="008F2447">
              <w:rPr>
                <w:rFonts w:asciiTheme="majorBidi" w:hAnsiTheme="majorBidi" w:cstheme="majorBidi"/>
                <w:color w:val="000000"/>
              </w:rPr>
              <w:t>±8.6</w:t>
            </w:r>
            <w:r w:rsidRPr="008F2447">
              <w:rPr>
                <w:rFonts w:asciiTheme="majorBidi" w:hAnsiTheme="majorBidi" w:cstheme="majorBidi"/>
                <w:color w:val="000000"/>
                <w:vertAlign w:val="superscript"/>
              </w:rPr>
              <w:t>a,b,d</w:t>
            </w:r>
          </w:p>
        </w:tc>
        <w:tc>
          <w:tcPr>
            <w:tcW w:w="1550" w:type="dxa"/>
            <w:tcBorders>
              <w:right w:val="single" w:sz="18" w:space="0" w:color="auto"/>
            </w:tcBorders>
            <w:vAlign w:val="center"/>
          </w:tcPr>
          <w:p w14:paraId="39C2146C"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102.9</w:t>
            </w:r>
            <w:r w:rsidRPr="008F2447">
              <w:rPr>
                <w:rFonts w:asciiTheme="majorBidi" w:hAnsiTheme="majorBidi" w:cstheme="majorBidi"/>
                <w:color w:val="000000"/>
              </w:rPr>
              <w:t>±10.6</w:t>
            </w:r>
            <w:r w:rsidRPr="008F2447">
              <w:rPr>
                <w:rFonts w:asciiTheme="majorBidi" w:hAnsiTheme="majorBidi" w:cstheme="majorBidi"/>
                <w:color w:val="000000"/>
                <w:vertAlign w:val="superscript"/>
              </w:rPr>
              <w:t>a,b,c</w:t>
            </w:r>
          </w:p>
        </w:tc>
        <w:tc>
          <w:tcPr>
            <w:tcW w:w="1550" w:type="dxa"/>
            <w:tcBorders>
              <w:left w:val="single" w:sz="18" w:space="0" w:color="auto"/>
            </w:tcBorders>
            <w:vAlign w:val="center"/>
          </w:tcPr>
          <w:p w14:paraId="659639D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87.5</w:t>
            </w:r>
            <w:r w:rsidRPr="008F2447">
              <w:rPr>
                <w:rFonts w:asciiTheme="majorBidi" w:hAnsiTheme="majorBidi" w:cstheme="majorBidi"/>
                <w:color w:val="000000"/>
              </w:rPr>
              <w:t>±9.7</w:t>
            </w:r>
            <w:r w:rsidRPr="008F2447">
              <w:rPr>
                <w:rFonts w:asciiTheme="majorBidi" w:hAnsiTheme="majorBidi" w:cstheme="majorBidi"/>
                <w:color w:val="000000"/>
                <w:vertAlign w:val="superscript"/>
              </w:rPr>
              <w:t>b,d</w:t>
            </w:r>
          </w:p>
        </w:tc>
        <w:tc>
          <w:tcPr>
            <w:tcW w:w="1550" w:type="dxa"/>
            <w:vAlign w:val="center"/>
          </w:tcPr>
          <w:p w14:paraId="4F34E4C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104.7</w:t>
            </w:r>
            <w:r w:rsidRPr="008F2447">
              <w:rPr>
                <w:rFonts w:asciiTheme="majorBidi" w:hAnsiTheme="majorBidi" w:cstheme="majorBidi"/>
                <w:color w:val="000000"/>
              </w:rPr>
              <w:t>±9.6</w:t>
            </w:r>
            <w:r w:rsidRPr="008F2447">
              <w:rPr>
                <w:rFonts w:asciiTheme="majorBidi" w:hAnsiTheme="majorBidi" w:cstheme="majorBidi"/>
                <w:color w:val="000000"/>
                <w:vertAlign w:val="superscript"/>
              </w:rPr>
              <w:t>a,c</w:t>
            </w:r>
          </w:p>
        </w:tc>
        <w:tc>
          <w:tcPr>
            <w:tcW w:w="1550" w:type="dxa"/>
            <w:vAlign w:val="center"/>
          </w:tcPr>
          <w:p w14:paraId="3B3AC9E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88.0</w:t>
            </w:r>
            <w:r w:rsidRPr="008F2447">
              <w:rPr>
                <w:rFonts w:asciiTheme="majorBidi" w:hAnsiTheme="majorBidi" w:cstheme="majorBidi"/>
                <w:color w:val="000000"/>
              </w:rPr>
              <w:t>±9.7</w:t>
            </w:r>
            <w:r w:rsidRPr="008F2447">
              <w:rPr>
                <w:rFonts w:asciiTheme="majorBidi" w:hAnsiTheme="majorBidi" w:cstheme="majorBidi"/>
                <w:color w:val="000000"/>
                <w:vertAlign w:val="superscript"/>
              </w:rPr>
              <w:t>b,d</w:t>
            </w:r>
          </w:p>
        </w:tc>
        <w:tc>
          <w:tcPr>
            <w:tcW w:w="1550" w:type="dxa"/>
            <w:tcBorders>
              <w:right w:val="nil"/>
            </w:tcBorders>
            <w:vAlign w:val="center"/>
          </w:tcPr>
          <w:p w14:paraId="596010DC"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105.1</w:t>
            </w:r>
            <w:r w:rsidRPr="008F2447">
              <w:rPr>
                <w:rFonts w:asciiTheme="majorBidi" w:hAnsiTheme="majorBidi" w:cstheme="majorBidi"/>
                <w:color w:val="000000"/>
              </w:rPr>
              <w:t>±10.7</w:t>
            </w:r>
            <w:r w:rsidRPr="008F2447">
              <w:rPr>
                <w:rFonts w:asciiTheme="majorBidi" w:hAnsiTheme="majorBidi" w:cstheme="majorBidi"/>
                <w:color w:val="000000"/>
                <w:vertAlign w:val="superscript"/>
              </w:rPr>
              <w:t>a,c</w:t>
            </w:r>
          </w:p>
        </w:tc>
      </w:tr>
      <w:tr w:rsidR="001E0057" w:rsidRPr="008F2447" w14:paraId="3875B886" w14:textId="77777777" w:rsidTr="003011AA">
        <w:tc>
          <w:tcPr>
            <w:tcW w:w="1550" w:type="dxa"/>
            <w:tcBorders>
              <w:left w:val="nil"/>
            </w:tcBorders>
            <w:vAlign w:val="center"/>
          </w:tcPr>
          <w:p w14:paraId="515C18A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body fat (kg)</w:t>
            </w:r>
          </w:p>
        </w:tc>
        <w:tc>
          <w:tcPr>
            <w:tcW w:w="1550" w:type="dxa"/>
            <w:vAlign w:val="center"/>
          </w:tcPr>
          <w:p w14:paraId="552A1768"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23.0</w:t>
            </w:r>
            <w:r w:rsidRPr="008F2447">
              <w:rPr>
                <w:rFonts w:asciiTheme="majorBidi" w:hAnsiTheme="majorBidi" w:cstheme="majorBidi"/>
                <w:color w:val="000000"/>
              </w:rPr>
              <w:t>±49.8</w:t>
            </w:r>
            <w:r w:rsidRPr="008F2447">
              <w:rPr>
                <w:rFonts w:asciiTheme="majorBidi" w:hAnsiTheme="majorBidi" w:cstheme="majorBidi"/>
                <w:color w:val="000000"/>
                <w:vertAlign w:val="superscript"/>
              </w:rPr>
              <w:t>b,d</w:t>
            </w:r>
          </w:p>
        </w:tc>
        <w:tc>
          <w:tcPr>
            <w:tcW w:w="1550" w:type="dxa"/>
            <w:vAlign w:val="center"/>
          </w:tcPr>
          <w:p w14:paraId="4AD0C3BA"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36.8</w:t>
            </w:r>
            <w:r w:rsidRPr="008F2447">
              <w:rPr>
                <w:rFonts w:asciiTheme="majorBidi" w:hAnsiTheme="majorBidi" w:cstheme="majorBidi"/>
                <w:color w:val="000000"/>
              </w:rPr>
              <w:t>±70.6</w:t>
            </w:r>
            <w:r w:rsidRPr="008F2447">
              <w:rPr>
                <w:rFonts w:asciiTheme="majorBidi" w:hAnsiTheme="majorBidi" w:cstheme="majorBidi"/>
                <w:color w:val="000000"/>
                <w:vertAlign w:val="superscript"/>
              </w:rPr>
              <w:t>a,c</w:t>
            </w:r>
          </w:p>
        </w:tc>
        <w:tc>
          <w:tcPr>
            <w:tcW w:w="1550" w:type="dxa"/>
            <w:vAlign w:val="center"/>
          </w:tcPr>
          <w:p w14:paraId="45F19355"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23.9</w:t>
            </w:r>
            <w:r w:rsidRPr="008F2447">
              <w:rPr>
                <w:rFonts w:asciiTheme="majorBidi" w:hAnsiTheme="majorBidi" w:cstheme="majorBidi"/>
                <w:color w:val="000000"/>
              </w:rPr>
              <w:t>±51.3</w:t>
            </w:r>
            <w:r w:rsidRPr="008F2447">
              <w:rPr>
                <w:rFonts w:asciiTheme="majorBidi" w:hAnsiTheme="majorBidi" w:cstheme="majorBidi"/>
                <w:color w:val="000000"/>
                <w:vertAlign w:val="superscript"/>
              </w:rPr>
              <w:t>b,d</w:t>
            </w:r>
          </w:p>
        </w:tc>
        <w:tc>
          <w:tcPr>
            <w:tcW w:w="1550" w:type="dxa"/>
            <w:tcBorders>
              <w:right w:val="single" w:sz="18" w:space="0" w:color="auto"/>
            </w:tcBorders>
            <w:vAlign w:val="center"/>
          </w:tcPr>
          <w:p w14:paraId="5FADF8C5"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36.7</w:t>
            </w:r>
            <w:r w:rsidRPr="008F2447">
              <w:rPr>
                <w:rFonts w:asciiTheme="majorBidi" w:hAnsiTheme="majorBidi" w:cstheme="majorBidi"/>
                <w:color w:val="000000"/>
              </w:rPr>
              <w:t>±73.3</w:t>
            </w:r>
            <w:r w:rsidRPr="008F2447">
              <w:rPr>
                <w:rFonts w:asciiTheme="majorBidi" w:hAnsiTheme="majorBidi" w:cstheme="majorBidi"/>
                <w:color w:val="000000"/>
                <w:vertAlign w:val="superscript"/>
              </w:rPr>
              <w:t>a,c</w:t>
            </w:r>
          </w:p>
        </w:tc>
        <w:tc>
          <w:tcPr>
            <w:tcW w:w="1550" w:type="dxa"/>
            <w:tcBorders>
              <w:left w:val="single" w:sz="18" w:space="0" w:color="auto"/>
            </w:tcBorders>
            <w:vAlign w:val="center"/>
          </w:tcPr>
          <w:p w14:paraId="302D960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23.2</w:t>
            </w:r>
            <w:r w:rsidRPr="008F2447">
              <w:rPr>
                <w:rFonts w:asciiTheme="majorBidi" w:hAnsiTheme="majorBidi" w:cstheme="majorBidi"/>
                <w:color w:val="000000"/>
              </w:rPr>
              <w:t>±4.9</w:t>
            </w:r>
            <w:r w:rsidRPr="008F2447">
              <w:rPr>
                <w:rFonts w:asciiTheme="majorBidi" w:hAnsiTheme="majorBidi" w:cstheme="majorBidi"/>
                <w:color w:val="000000"/>
                <w:vertAlign w:val="superscript"/>
              </w:rPr>
              <w:t>b,d</w:t>
            </w:r>
          </w:p>
        </w:tc>
        <w:tc>
          <w:tcPr>
            <w:tcW w:w="1550" w:type="dxa"/>
            <w:vAlign w:val="center"/>
          </w:tcPr>
          <w:p w14:paraId="5FE24D8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36.1</w:t>
            </w:r>
            <w:r w:rsidRPr="008F2447">
              <w:rPr>
                <w:rFonts w:asciiTheme="majorBidi" w:hAnsiTheme="majorBidi" w:cstheme="majorBidi"/>
                <w:color w:val="000000"/>
              </w:rPr>
              <w:t>±6.8</w:t>
            </w:r>
            <w:r w:rsidRPr="008F2447">
              <w:rPr>
                <w:rFonts w:asciiTheme="majorBidi" w:hAnsiTheme="majorBidi" w:cstheme="majorBidi"/>
                <w:color w:val="000000"/>
                <w:vertAlign w:val="superscript"/>
              </w:rPr>
              <w:t>a,c</w:t>
            </w:r>
          </w:p>
        </w:tc>
        <w:tc>
          <w:tcPr>
            <w:tcW w:w="1550" w:type="dxa"/>
            <w:vAlign w:val="center"/>
          </w:tcPr>
          <w:p w14:paraId="07C642D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23.4</w:t>
            </w:r>
            <w:r w:rsidRPr="008F2447">
              <w:rPr>
                <w:rFonts w:asciiTheme="majorBidi" w:hAnsiTheme="majorBidi" w:cstheme="majorBidi"/>
                <w:color w:val="000000"/>
              </w:rPr>
              <w:t>±5.2</w:t>
            </w:r>
            <w:r w:rsidRPr="008F2447">
              <w:rPr>
                <w:rFonts w:asciiTheme="majorBidi" w:hAnsiTheme="majorBidi" w:cstheme="majorBidi"/>
                <w:color w:val="000000"/>
                <w:vertAlign w:val="superscript"/>
              </w:rPr>
              <w:t>b,d</w:t>
            </w:r>
          </w:p>
        </w:tc>
        <w:tc>
          <w:tcPr>
            <w:tcW w:w="1550" w:type="dxa"/>
            <w:tcBorders>
              <w:right w:val="nil"/>
            </w:tcBorders>
            <w:vAlign w:val="center"/>
          </w:tcPr>
          <w:p w14:paraId="5BFDF390"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37.6</w:t>
            </w:r>
            <w:r w:rsidRPr="008F2447">
              <w:rPr>
                <w:rFonts w:asciiTheme="majorBidi" w:hAnsiTheme="majorBidi" w:cstheme="majorBidi"/>
                <w:color w:val="000000"/>
              </w:rPr>
              <w:t>±7.6</w:t>
            </w:r>
            <w:r w:rsidRPr="008F2447">
              <w:rPr>
                <w:rFonts w:asciiTheme="majorBidi" w:hAnsiTheme="majorBidi" w:cstheme="majorBidi"/>
                <w:color w:val="000000"/>
                <w:vertAlign w:val="superscript"/>
              </w:rPr>
              <w:t>a,c</w:t>
            </w:r>
          </w:p>
        </w:tc>
      </w:tr>
      <w:tr w:rsidR="001E0057" w:rsidRPr="008F2447" w14:paraId="140D421D" w14:textId="77777777" w:rsidTr="003011AA">
        <w:tc>
          <w:tcPr>
            <w:tcW w:w="1550" w:type="dxa"/>
            <w:tcBorders>
              <w:left w:val="nil"/>
            </w:tcBorders>
            <w:vAlign w:val="center"/>
          </w:tcPr>
          <w:p w14:paraId="1734C50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Trunk fat (kg)</w:t>
            </w:r>
          </w:p>
        </w:tc>
        <w:tc>
          <w:tcPr>
            <w:tcW w:w="1550" w:type="dxa"/>
            <w:vAlign w:val="center"/>
          </w:tcPr>
          <w:p w14:paraId="5E773093"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9.9</w:t>
            </w:r>
            <w:r w:rsidRPr="008F2447">
              <w:rPr>
                <w:rFonts w:asciiTheme="majorBidi" w:hAnsiTheme="majorBidi" w:cstheme="majorBidi"/>
                <w:color w:val="000000"/>
              </w:rPr>
              <w:t>±2.8</w:t>
            </w:r>
            <w:r w:rsidRPr="008F2447">
              <w:rPr>
                <w:rFonts w:asciiTheme="majorBidi" w:hAnsiTheme="majorBidi" w:cstheme="majorBidi"/>
                <w:color w:val="000000"/>
                <w:vertAlign w:val="superscript"/>
              </w:rPr>
              <w:t>b,d</w:t>
            </w:r>
          </w:p>
        </w:tc>
        <w:tc>
          <w:tcPr>
            <w:tcW w:w="1550" w:type="dxa"/>
            <w:vAlign w:val="center"/>
          </w:tcPr>
          <w:p w14:paraId="1D8F567D"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17.4</w:t>
            </w:r>
            <w:r w:rsidRPr="008F2447">
              <w:rPr>
                <w:rFonts w:asciiTheme="majorBidi" w:hAnsiTheme="majorBidi" w:cstheme="majorBidi"/>
                <w:color w:val="000000"/>
              </w:rPr>
              <w:t>±3.4</w:t>
            </w:r>
            <w:r w:rsidRPr="008F2447">
              <w:rPr>
                <w:rFonts w:asciiTheme="majorBidi" w:hAnsiTheme="majorBidi" w:cstheme="majorBidi"/>
                <w:color w:val="000000"/>
                <w:vertAlign w:val="superscript"/>
              </w:rPr>
              <w:t>a,c</w:t>
            </w:r>
          </w:p>
        </w:tc>
        <w:tc>
          <w:tcPr>
            <w:tcW w:w="1550" w:type="dxa"/>
            <w:vAlign w:val="center"/>
          </w:tcPr>
          <w:p w14:paraId="1EF5C025"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10.3</w:t>
            </w:r>
            <w:r w:rsidRPr="008F2447">
              <w:rPr>
                <w:rFonts w:asciiTheme="majorBidi" w:hAnsiTheme="majorBidi" w:cstheme="majorBidi"/>
                <w:color w:val="000000"/>
              </w:rPr>
              <w:t>±2.8</w:t>
            </w:r>
            <w:r w:rsidRPr="008F2447">
              <w:rPr>
                <w:rFonts w:asciiTheme="majorBidi" w:hAnsiTheme="majorBidi" w:cstheme="majorBidi"/>
                <w:color w:val="000000"/>
                <w:vertAlign w:val="superscript"/>
              </w:rPr>
              <w:t>b,d</w:t>
            </w:r>
          </w:p>
        </w:tc>
        <w:tc>
          <w:tcPr>
            <w:tcW w:w="1550" w:type="dxa"/>
            <w:tcBorders>
              <w:right w:val="single" w:sz="18" w:space="0" w:color="auto"/>
            </w:tcBorders>
            <w:vAlign w:val="center"/>
          </w:tcPr>
          <w:p w14:paraId="54D910E6"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17.4</w:t>
            </w:r>
            <w:r w:rsidRPr="008F2447">
              <w:rPr>
                <w:rFonts w:asciiTheme="majorBidi" w:hAnsiTheme="majorBidi" w:cstheme="majorBidi"/>
                <w:color w:val="000000"/>
              </w:rPr>
              <w:t>±3.5</w:t>
            </w:r>
            <w:r w:rsidRPr="008F2447">
              <w:rPr>
                <w:rFonts w:asciiTheme="majorBidi" w:hAnsiTheme="majorBidi" w:cstheme="majorBidi"/>
                <w:color w:val="000000"/>
                <w:vertAlign w:val="superscript"/>
              </w:rPr>
              <w:t>a,c</w:t>
            </w:r>
          </w:p>
        </w:tc>
        <w:tc>
          <w:tcPr>
            <w:tcW w:w="1550" w:type="dxa"/>
            <w:tcBorders>
              <w:left w:val="single" w:sz="18" w:space="0" w:color="auto"/>
            </w:tcBorders>
            <w:vAlign w:val="center"/>
          </w:tcPr>
          <w:p w14:paraId="266A300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10.0</w:t>
            </w:r>
            <w:r w:rsidRPr="008F2447">
              <w:rPr>
                <w:rFonts w:asciiTheme="majorBidi" w:hAnsiTheme="majorBidi" w:cstheme="majorBidi"/>
                <w:color w:val="000000"/>
              </w:rPr>
              <w:t>±2.7</w:t>
            </w:r>
            <w:r w:rsidRPr="008F2447">
              <w:rPr>
                <w:rFonts w:asciiTheme="majorBidi" w:hAnsiTheme="majorBidi" w:cstheme="majorBidi"/>
                <w:color w:val="000000"/>
                <w:vertAlign w:val="superscript"/>
              </w:rPr>
              <w:t>b,d</w:t>
            </w:r>
          </w:p>
        </w:tc>
        <w:tc>
          <w:tcPr>
            <w:tcW w:w="1550" w:type="dxa"/>
            <w:vAlign w:val="center"/>
          </w:tcPr>
          <w:p w14:paraId="52C0782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17.1</w:t>
            </w:r>
            <w:r w:rsidRPr="008F2447">
              <w:rPr>
                <w:rFonts w:asciiTheme="majorBidi" w:hAnsiTheme="majorBidi" w:cstheme="majorBidi"/>
                <w:color w:val="000000"/>
              </w:rPr>
              <w:t>±3.1</w:t>
            </w:r>
            <w:r w:rsidRPr="008F2447">
              <w:rPr>
                <w:rFonts w:asciiTheme="majorBidi" w:hAnsiTheme="majorBidi" w:cstheme="majorBidi"/>
                <w:color w:val="000000"/>
                <w:vertAlign w:val="superscript"/>
              </w:rPr>
              <w:t>a,c</w:t>
            </w:r>
          </w:p>
        </w:tc>
        <w:tc>
          <w:tcPr>
            <w:tcW w:w="1550" w:type="dxa"/>
            <w:vAlign w:val="center"/>
          </w:tcPr>
          <w:p w14:paraId="3CCDFED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10.0</w:t>
            </w:r>
            <w:r w:rsidRPr="008F2447">
              <w:rPr>
                <w:rFonts w:asciiTheme="majorBidi" w:hAnsiTheme="majorBidi" w:cstheme="majorBidi"/>
                <w:color w:val="000000"/>
              </w:rPr>
              <w:t>±2.9</w:t>
            </w:r>
            <w:r w:rsidRPr="008F2447">
              <w:rPr>
                <w:rFonts w:asciiTheme="majorBidi" w:hAnsiTheme="majorBidi" w:cstheme="majorBidi"/>
                <w:color w:val="000000"/>
                <w:vertAlign w:val="superscript"/>
              </w:rPr>
              <w:t>b,d</w:t>
            </w:r>
          </w:p>
        </w:tc>
        <w:tc>
          <w:tcPr>
            <w:tcW w:w="1550" w:type="dxa"/>
            <w:tcBorders>
              <w:right w:val="nil"/>
            </w:tcBorders>
            <w:vAlign w:val="center"/>
          </w:tcPr>
          <w:p w14:paraId="45B6E21D"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17.8</w:t>
            </w:r>
            <w:r w:rsidRPr="008F2447">
              <w:rPr>
                <w:rFonts w:asciiTheme="majorBidi" w:hAnsiTheme="majorBidi" w:cstheme="majorBidi"/>
                <w:color w:val="000000"/>
              </w:rPr>
              <w:t>±3.8</w:t>
            </w:r>
            <w:r w:rsidRPr="008F2447">
              <w:rPr>
                <w:rFonts w:asciiTheme="majorBidi" w:hAnsiTheme="majorBidi" w:cstheme="majorBidi"/>
                <w:color w:val="000000"/>
                <w:vertAlign w:val="superscript"/>
              </w:rPr>
              <w:t>a,c</w:t>
            </w:r>
          </w:p>
        </w:tc>
      </w:tr>
      <w:tr w:rsidR="001E0057" w:rsidRPr="008F2447" w14:paraId="3421DC1D" w14:textId="77777777" w:rsidTr="003011AA">
        <w:tc>
          <w:tcPr>
            <w:tcW w:w="1550" w:type="dxa"/>
            <w:tcBorders>
              <w:left w:val="nil"/>
            </w:tcBorders>
            <w:vAlign w:val="center"/>
          </w:tcPr>
          <w:p w14:paraId="5BAE024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ALM (kg)</w:t>
            </w:r>
          </w:p>
        </w:tc>
        <w:tc>
          <w:tcPr>
            <w:tcW w:w="1550" w:type="dxa"/>
            <w:vAlign w:val="center"/>
          </w:tcPr>
          <w:p w14:paraId="3D99B93A"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24.6</w:t>
            </w:r>
            <w:r w:rsidRPr="008F2447">
              <w:rPr>
                <w:rFonts w:asciiTheme="majorBidi" w:hAnsiTheme="majorBidi" w:cstheme="majorBidi"/>
                <w:color w:val="000000"/>
              </w:rPr>
              <w:t>±5.4</w:t>
            </w:r>
            <w:r w:rsidRPr="008F2447">
              <w:rPr>
                <w:rFonts w:asciiTheme="majorBidi" w:hAnsiTheme="majorBidi" w:cstheme="majorBidi"/>
                <w:color w:val="000000"/>
                <w:vertAlign w:val="superscript"/>
              </w:rPr>
              <w:t>b,c</w:t>
            </w:r>
          </w:p>
        </w:tc>
        <w:tc>
          <w:tcPr>
            <w:tcW w:w="1550" w:type="dxa"/>
            <w:vAlign w:val="center"/>
          </w:tcPr>
          <w:p w14:paraId="4D63CDB2"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27.1</w:t>
            </w:r>
            <w:r w:rsidRPr="008F2447">
              <w:rPr>
                <w:rFonts w:asciiTheme="majorBidi" w:hAnsiTheme="majorBidi" w:cstheme="majorBidi"/>
                <w:color w:val="000000"/>
              </w:rPr>
              <w:t>±4.9</w:t>
            </w:r>
            <w:r w:rsidRPr="008F2447">
              <w:rPr>
                <w:rFonts w:asciiTheme="majorBidi" w:hAnsiTheme="majorBidi" w:cstheme="majorBidi"/>
                <w:color w:val="000000"/>
                <w:vertAlign w:val="superscript"/>
              </w:rPr>
              <w:t>a,c,d</w:t>
            </w:r>
          </w:p>
        </w:tc>
        <w:tc>
          <w:tcPr>
            <w:tcW w:w="1550" w:type="dxa"/>
            <w:vAlign w:val="center"/>
          </w:tcPr>
          <w:p w14:paraId="08D70786"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21.3</w:t>
            </w:r>
            <w:r w:rsidRPr="008F2447">
              <w:rPr>
                <w:rFonts w:asciiTheme="majorBidi" w:hAnsiTheme="majorBidi" w:cstheme="majorBidi"/>
                <w:color w:val="000000"/>
              </w:rPr>
              <w:t>±4.3</w:t>
            </w:r>
            <w:r w:rsidRPr="008F2447">
              <w:rPr>
                <w:rFonts w:asciiTheme="majorBidi" w:hAnsiTheme="majorBidi" w:cstheme="majorBidi"/>
                <w:color w:val="000000"/>
                <w:vertAlign w:val="superscript"/>
              </w:rPr>
              <w:t>a,b,d</w:t>
            </w:r>
          </w:p>
        </w:tc>
        <w:tc>
          <w:tcPr>
            <w:tcW w:w="1550" w:type="dxa"/>
            <w:tcBorders>
              <w:right w:val="single" w:sz="18" w:space="0" w:color="auto"/>
            </w:tcBorders>
            <w:vAlign w:val="center"/>
          </w:tcPr>
          <w:p w14:paraId="3C485BB3"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23.5</w:t>
            </w:r>
            <w:r w:rsidRPr="008F2447">
              <w:rPr>
                <w:rFonts w:asciiTheme="majorBidi" w:hAnsiTheme="majorBidi" w:cstheme="majorBidi"/>
                <w:color w:val="000000"/>
              </w:rPr>
              <w:t>±4.5</w:t>
            </w:r>
            <w:r w:rsidRPr="008F2447">
              <w:rPr>
                <w:rFonts w:asciiTheme="majorBidi" w:hAnsiTheme="majorBidi" w:cstheme="majorBidi"/>
                <w:color w:val="000000"/>
                <w:vertAlign w:val="superscript"/>
              </w:rPr>
              <w:t>b,c</w:t>
            </w:r>
          </w:p>
        </w:tc>
        <w:tc>
          <w:tcPr>
            <w:tcW w:w="1550" w:type="dxa"/>
            <w:tcBorders>
              <w:left w:val="single" w:sz="18" w:space="0" w:color="auto"/>
            </w:tcBorders>
            <w:vAlign w:val="center"/>
          </w:tcPr>
          <w:p w14:paraId="3EF2A87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24.0</w:t>
            </w:r>
            <w:r w:rsidRPr="008F2447">
              <w:rPr>
                <w:rFonts w:asciiTheme="majorBidi" w:hAnsiTheme="majorBidi" w:cstheme="majorBidi"/>
                <w:color w:val="000000"/>
              </w:rPr>
              <w:t>±5.4</w:t>
            </w:r>
            <w:r w:rsidRPr="008F2447">
              <w:rPr>
                <w:rFonts w:asciiTheme="majorBidi" w:hAnsiTheme="majorBidi" w:cstheme="majorBidi"/>
                <w:color w:val="000000"/>
                <w:vertAlign w:val="superscript"/>
              </w:rPr>
              <w:t>b,c</w:t>
            </w:r>
          </w:p>
        </w:tc>
        <w:tc>
          <w:tcPr>
            <w:tcW w:w="1550" w:type="dxa"/>
            <w:vAlign w:val="center"/>
          </w:tcPr>
          <w:p w14:paraId="7E3586D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26.9</w:t>
            </w:r>
            <w:r w:rsidRPr="008F2447">
              <w:rPr>
                <w:rFonts w:asciiTheme="majorBidi" w:hAnsiTheme="majorBidi" w:cstheme="majorBidi"/>
                <w:color w:val="000000"/>
              </w:rPr>
              <w:t>±5.2</w:t>
            </w:r>
            <w:r w:rsidRPr="008F2447">
              <w:rPr>
                <w:rFonts w:asciiTheme="majorBidi" w:hAnsiTheme="majorBidi" w:cstheme="majorBidi"/>
                <w:color w:val="000000"/>
                <w:vertAlign w:val="superscript"/>
              </w:rPr>
              <w:t>a,c,d</w:t>
            </w:r>
          </w:p>
        </w:tc>
        <w:tc>
          <w:tcPr>
            <w:tcW w:w="1550" w:type="dxa"/>
            <w:vAlign w:val="center"/>
          </w:tcPr>
          <w:p w14:paraId="6681D27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22.9</w:t>
            </w:r>
            <w:r w:rsidRPr="008F2447">
              <w:rPr>
                <w:rFonts w:asciiTheme="majorBidi" w:hAnsiTheme="majorBidi" w:cstheme="majorBidi"/>
                <w:color w:val="000000"/>
              </w:rPr>
              <w:t>±4.9</w:t>
            </w:r>
            <w:r w:rsidRPr="008F2447">
              <w:rPr>
                <w:rFonts w:asciiTheme="majorBidi" w:hAnsiTheme="majorBidi" w:cstheme="majorBidi"/>
                <w:color w:val="000000"/>
                <w:vertAlign w:val="superscript"/>
              </w:rPr>
              <w:t>a,b,d</w:t>
            </w:r>
          </w:p>
        </w:tc>
        <w:tc>
          <w:tcPr>
            <w:tcW w:w="1550" w:type="dxa"/>
            <w:tcBorders>
              <w:right w:val="nil"/>
            </w:tcBorders>
            <w:vAlign w:val="center"/>
          </w:tcPr>
          <w:p w14:paraId="1D753292"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24.7</w:t>
            </w:r>
            <w:r w:rsidRPr="008F2447">
              <w:rPr>
                <w:rFonts w:asciiTheme="majorBidi" w:hAnsiTheme="majorBidi" w:cstheme="majorBidi"/>
                <w:color w:val="000000"/>
              </w:rPr>
              <w:t>±4.3</w:t>
            </w:r>
            <w:r w:rsidRPr="008F2447">
              <w:rPr>
                <w:rFonts w:asciiTheme="majorBidi" w:hAnsiTheme="majorBidi" w:cstheme="majorBidi"/>
                <w:color w:val="000000"/>
                <w:vertAlign w:val="superscript"/>
              </w:rPr>
              <w:t>b,c</w:t>
            </w:r>
          </w:p>
        </w:tc>
      </w:tr>
      <w:tr w:rsidR="001E0057" w:rsidRPr="008F2447" w14:paraId="438CE7EC" w14:textId="77777777" w:rsidTr="003011AA">
        <w:tc>
          <w:tcPr>
            <w:tcW w:w="1550" w:type="dxa"/>
            <w:tcBorders>
              <w:left w:val="nil"/>
            </w:tcBorders>
            <w:vAlign w:val="center"/>
          </w:tcPr>
          <w:p w14:paraId="12060C8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LLS (kg)</w:t>
            </w:r>
          </w:p>
        </w:tc>
        <w:tc>
          <w:tcPr>
            <w:tcW w:w="1550" w:type="dxa"/>
            <w:vAlign w:val="center"/>
          </w:tcPr>
          <w:p w14:paraId="0D1BF954"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97.7</w:t>
            </w:r>
            <w:r w:rsidRPr="008F2447">
              <w:rPr>
                <w:rFonts w:asciiTheme="majorBidi" w:hAnsiTheme="majorBidi" w:cstheme="majorBidi"/>
                <w:color w:val="000000"/>
              </w:rPr>
              <w:t>±50.4</w:t>
            </w:r>
            <w:r w:rsidRPr="008F2447">
              <w:rPr>
                <w:rFonts w:asciiTheme="majorBidi" w:hAnsiTheme="majorBidi" w:cstheme="majorBidi"/>
                <w:color w:val="000000"/>
                <w:vertAlign w:val="superscript"/>
              </w:rPr>
              <w:t>c,d</w:t>
            </w:r>
          </w:p>
        </w:tc>
        <w:tc>
          <w:tcPr>
            <w:tcW w:w="1550" w:type="dxa"/>
            <w:vAlign w:val="center"/>
          </w:tcPr>
          <w:p w14:paraId="0538D446"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97.2</w:t>
            </w:r>
            <w:r w:rsidRPr="008F2447">
              <w:rPr>
                <w:rFonts w:asciiTheme="majorBidi" w:hAnsiTheme="majorBidi" w:cstheme="majorBidi"/>
                <w:color w:val="000000"/>
              </w:rPr>
              <w:t>±52.8</w:t>
            </w:r>
            <w:r w:rsidRPr="008F2447">
              <w:rPr>
                <w:rFonts w:asciiTheme="majorBidi" w:hAnsiTheme="majorBidi" w:cstheme="majorBidi"/>
                <w:color w:val="000000"/>
                <w:vertAlign w:val="superscript"/>
              </w:rPr>
              <w:t>c,d</w:t>
            </w:r>
          </w:p>
        </w:tc>
        <w:tc>
          <w:tcPr>
            <w:tcW w:w="1550" w:type="dxa"/>
            <w:vAlign w:val="center"/>
          </w:tcPr>
          <w:p w14:paraId="70344337"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82.9</w:t>
            </w:r>
            <w:r w:rsidRPr="008F2447">
              <w:rPr>
                <w:rFonts w:asciiTheme="majorBidi" w:hAnsiTheme="majorBidi" w:cstheme="majorBidi"/>
                <w:color w:val="000000"/>
              </w:rPr>
              <w:t>±41.9</w:t>
            </w:r>
            <w:r w:rsidRPr="008F2447">
              <w:rPr>
                <w:rFonts w:asciiTheme="majorBidi" w:hAnsiTheme="majorBidi" w:cstheme="majorBidi"/>
                <w:color w:val="000000"/>
                <w:vertAlign w:val="superscript"/>
              </w:rPr>
              <w:t>a,b</w:t>
            </w:r>
          </w:p>
        </w:tc>
        <w:tc>
          <w:tcPr>
            <w:tcW w:w="1550" w:type="dxa"/>
            <w:tcBorders>
              <w:right w:val="single" w:sz="18" w:space="0" w:color="auto"/>
            </w:tcBorders>
            <w:vAlign w:val="center"/>
          </w:tcPr>
          <w:p w14:paraId="20038141" w14:textId="77777777" w:rsidR="001E0057" w:rsidRPr="008F2447" w:rsidRDefault="001E0057" w:rsidP="003011AA">
            <w:pPr>
              <w:spacing w:line="480" w:lineRule="auto"/>
              <w:jc w:val="center"/>
              <w:rPr>
                <w:rFonts w:asciiTheme="majorBidi" w:hAnsiTheme="majorBidi" w:cstheme="majorBidi"/>
                <w:vertAlign w:val="superscript"/>
              </w:rPr>
            </w:pPr>
            <w:r w:rsidRPr="008F2447">
              <w:rPr>
                <w:rFonts w:asciiTheme="majorBidi" w:hAnsiTheme="majorBidi" w:cstheme="majorBidi"/>
              </w:rPr>
              <w:t>80.96</w:t>
            </w:r>
            <w:r w:rsidRPr="008F2447">
              <w:rPr>
                <w:rFonts w:asciiTheme="majorBidi" w:hAnsiTheme="majorBidi" w:cstheme="majorBidi"/>
                <w:color w:val="000000"/>
              </w:rPr>
              <w:t>±42.8</w:t>
            </w:r>
            <w:r w:rsidRPr="008F2447">
              <w:rPr>
                <w:rFonts w:asciiTheme="majorBidi" w:hAnsiTheme="majorBidi" w:cstheme="majorBidi"/>
                <w:color w:val="000000"/>
                <w:vertAlign w:val="superscript"/>
              </w:rPr>
              <w:t>a,b</w:t>
            </w:r>
          </w:p>
        </w:tc>
        <w:tc>
          <w:tcPr>
            <w:tcW w:w="1550" w:type="dxa"/>
            <w:tcBorders>
              <w:left w:val="single" w:sz="18" w:space="0" w:color="auto"/>
            </w:tcBorders>
            <w:vAlign w:val="center"/>
          </w:tcPr>
          <w:p w14:paraId="4182603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112.6</w:t>
            </w:r>
            <w:r w:rsidRPr="008F2447">
              <w:rPr>
                <w:rFonts w:asciiTheme="majorBidi" w:hAnsiTheme="majorBidi" w:cstheme="majorBidi"/>
                <w:color w:val="000000"/>
              </w:rPr>
              <w:t>±46.4</w:t>
            </w:r>
            <w:r w:rsidRPr="008F2447">
              <w:rPr>
                <w:rFonts w:asciiTheme="majorBidi" w:hAnsiTheme="majorBidi" w:cstheme="majorBidi"/>
                <w:color w:val="000000"/>
                <w:vertAlign w:val="superscript"/>
              </w:rPr>
              <w:t>c,d</w:t>
            </w:r>
          </w:p>
        </w:tc>
        <w:tc>
          <w:tcPr>
            <w:tcW w:w="1550" w:type="dxa"/>
            <w:vAlign w:val="center"/>
          </w:tcPr>
          <w:p w14:paraId="41B23AB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114.7</w:t>
            </w:r>
            <w:r w:rsidRPr="008F2447">
              <w:rPr>
                <w:rFonts w:asciiTheme="majorBidi" w:hAnsiTheme="majorBidi" w:cstheme="majorBidi"/>
                <w:color w:val="000000"/>
              </w:rPr>
              <w:t>±45.8</w:t>
            </w:r>
            <w:r w:rsidRPr="008F2447">
              <w:rPr>
                <w:rFonts w:asciiTheme="majorBidi" w:hAnsiTheme="majorBidi" w:cstheme="majorBidi"/>
                <w:color w:val="000000"/>
                <w:vertAlign w:val="superscript"/>
              </w:rPr>
              <w:t>c,d</w:t>
            </w:r>
          </w:p>
        </w:tc>
        <w:tc>
          <w:tcPr>
            <w:tcW w:w="1550" w:type="dxa"/>
            <w:vAlign w:val="center"/>
          </w:tcPr>
          <w:p w14:paraId="6D83F17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59.1</w:t>
            </w:r>
            <w:r w:rsidRPr="008F2447">
              <w:rPr>
                <w:rFonts w:asciiTheme="majorBidi" w:hAnsiTheme="majorBidi" w:cstheme="majorBidi"/>
                <w:color w:val="000000"/>
              </w:rPr>
              <w:t>±28.9</w:t>
            </w:r>
            <w:r w:rsidRPr="008F2447">
              <w:rPr>
                <w:rFonts w:asciiTheme="majorBidi" w:hAnsiTheme="majorBidi" w:cstheme="majorBidi"/>
                <w:color w:val="000000"/>
                <w:vertAlign w:val="superscript"/>
              </w:rPr>
              <w:t>a,b</w:t>
            </w:r>
          </w:p>
        </w:tc>
        <w:tc>
          <w:tcPr>
            <w:tcW w:w="1550" w:type="dxa"/>
            <w:tcBorders>
              <w:right w:val="nil"/>
            </w:tcBorders>
            <w:vAlign w:val="center"/>
          </w:tcPr>
          <w:p w14:paraId="79D38B1E" w14:textId="77777777" w:rsidR="001E0057" w:rsidRPr="008F2447" w:rsidRDefault="001E0057" w:rsidP="003011AA">
            <w:pPr>
              <w:spacing w:line="480" w:lineRule="auto"/>
              <w:rPr>
                <w:rFonts w:asciiTheme="majorBidi" w:hAnsiTheme="majorBidi" w:cstheme="majorBidi"/>
              </w:rPr>
            </w:pPr>
            <w:r w:rsidRPr="008F2447">
              <w:rPr>
                <w:rFonts w:asciiTheme="majorBidi" w:hAnsiTheme="majorBidi" w:cstheme="majorBidi"/>
              </w:rPr>
              <w:t>53.4</w:t>
            </w:r>
            <w:r w:rsidRPr="008F2447">
              <w:rPr>
                <w:rFonts w:asciiTheme="majorBidi" w:hAnsiTheme="majorBidi" w:cstheme="majorBidi"/>
                <w:color w:val="000000"/>
              </w:rPr>
              <w:t>±30.8</w:t>
            </w:r>
            <w:r w:rsidRPr="008F2447">
              <w:rPr>
                <w:rFonts w:asciiTheme="majorBidi" w:hAnsiTheme="majorBidi" w:cstheme="majorBidi"/>
                <w:color w:val="000000"/>
                <w:vertAlign w:val="superscript"/>
              </w:rPr>
              <w:t>a,b</w:t>
            </w:r>
          </w:p>
        </w:tc>
      </w:tr>
      <w:tr w:rsidR="001E0057" w:rsidRPr="008F2447" w14:paraId="2C97143C" w14:textId="77777777" w:rsidTr="003011AA">
        <w:tc>
          <w:tcPr>
            <w:tcW w:w="1550" w:type="dxa"/>
            <w:tcBorders>
              <w:left w:val="nil"/>
            </w:tcBorders>
            <w:vAlign w:val="center"/>
          </w:tcPr>
          <w:p w14:paraId="0FAA237A"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Falls risk Z-score</w:t>
            </w:r>
          </w:p>
        </w:tc>
        <w:tc>
          <w:tcPr>
            <w:tcW w:w="1550" w:type="dxa"/>
            <w:vAlign w:val="center"/>
          </w:tcPr>
          <w:p w14:paraId="0D1FB187"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0.17 ± 0.87</w:t>
            </w:r>
          </w:p>
        </w:tc>
        <w:tc>
          <w:tcPr>
            <w:tcW w:w="1550" w:type="dxa"/>
            <w:vAlign w:val="center"/>
          </w:tcPr>
          <w:p w14:paraId="13EA2FFC"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0.09 ± 0.77</w:t>
            </w:r>
          </w:p>
        </w:tc>
        <w:tc>
          <w:tcPr>
            <w:tcW w:w="1550" w:type="dxa"/>
            <w:vAlign w:val="center"/>
          </w:tcPr>
          <w:p w14:paraId="1A3F82E8"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0.26 ± 0.87</w:t>
            </w:r>
          </w:p>
        </w:tc>
        <w:tc>
          <w:tcPr>
            <w:tcW w:w="1550" w:type="dxa"/>
            <w:tcBorders>
              <w:right w:val="single" w:sz="18" w:space="0" w:color="auto"/>
            </w:tcBorders>
            <w:vAlign w:val="center"/>
          </w:tcPr>
          <w:p w14:paraId="118DC62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0.28 ± 0.90</w:t>
            </w:r>
          </w:p>
        </w:tc>
        <w:tc>
          <w:tcPr>
            <w:tcW w:w="1550" w:type="dxa"/>
            <w:tcBorders>
              <w:left w:val="single" w:sz="18" w:space="0" w:color="auto"/>
            </w:tcBorders>
            <w:vAlign w:val="center"/>
          </w:tcPr>
          <w:p w14:paraId="06F70DFA"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0.04 ± 0.73</w:t>
            </w:r>
            <w:r w:rsidRPr="008F2447">
              <w:rPr>
                <w:rFonts w:asciiTheme="majorBidi" w:hAnsiTheme="majorBidi" w:cstheme="majorBidi"/>
                <w:color w:val="000000"/>
                <w:vertAlign w:val="superscript"/>
              </w:rPr>
              <w:t>c,d</w:t>
            </w:r>
          </w:p>
        </w:tc>
        <w:tc>
          <w:tcPr>
            <w:tcW w:w="1550" w:type="dxa"/>
            <w:vAlign w:val="center"/>
          </w:tcPr>
          <w:p w14:paraId="4EDFDA7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-0.01 ± 0.71</w:t>
            </w:r>
            <w:r w:rsidRPr="008F2447">
              <w:rPr>
                <w:rFonts w:asciiTheme="majorBidi" w:hAnsiTheme="majorBidi" w:cstheme="majorBidi"/>
                <w:color w:val="000000"/>
                <w:vertAlign w:val="superscript"/>
              </w:rPr>
              <w:t>c,d</w:t>
            </w:r>
          </w:p>
        </w:tc>
        <w:tc>
          <w:tcPr>
            <w:tcW w:w="1550" w:type="dxa"/>
            <w:vAlign w:val="center"/>
          </w:tcPr>
          <w:p w14:paraId="7CCC7B8A"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0.42 ± 0.96</w:t>
            </w:r>
            <w:r w:rsidRPr="008F2447">
              <w:rPr>
                <w:rFonts w:asciiTheme="majorBidi" w:hAnsiTheme="majorBidi" w:cstheme="majorBidi"/>
                <w:color w:val="000000"/>
                <w:vertAlign w:val="superscript"/>
              </w:rPr>
              <w:t>a,b</w:t>
            </w:r>
          </w:p>
        </w:tc>
        <w:tc>
          <w:tcPr>
            <w:tcW w:w="1550" w:type="dxa"/>
            <w:tcBorders>
              <w:right w:val="nil"/>
            </w:tcBorders>
            <w:vAlign w:val="center"/>
          </w:tcPr>
          <w:p w14:paraId="4BAC5072" w14:textId="77777777" w:rsidR="001E0057" w:rsidRPr="008F2447" w:rsidRDefault="001E0057" w:rsidP="003011AA">
            <w:pPr>
              <w:spacing w:line="480" w:lineRule="auto"/>
              <w:rPr>
                <w:rFonts w:asciiTheme="majorBidi" w:hAnsiTheme="majorBidi" w:cstheme="majorBidi"/>
              </w:rPr>
            </w:pPr>
            <w:r>
              <w:rPr>
                <w:rFonts w:asciiTheme="majorBidi" w:hAnsiTheme="majorBidi" w:cstheme="majorBidi"/>
              </w:rPr>
              <w:t>0.42 ± 0.85</w:t>
            </w:r>
            <w:r w:rsidRPr="008F2447">
              <w:rPr>
                <w:rFonts w:asciiTheme="majorBidi" w:hAnsiTheme="majorBidi" w:cstheme="majorBidi"/>
                <w:color w:val="000000"/>
                <w:vertAlign w:val="superscript"/>
              </w:rPr>
              <w:t>a,b</w:t>
            </w:r>
          </w:p>
        </w:tc>
      </w:tr>
    </w:tbl>
    <w:p w14:paraId="3AF00E13" w14:textId="77777777" w:rsidR="001E0057" w:rsidRPr="008F2447" w:rsidRDefault="001E0057" w:rsidP="001E0057">
      <w:pPr>
        <w:spacing w:line="480" w:lineRule="auto"/>
        <w:rPr>
          <w:rFonts w:asciiTheme="majorBidi" w:hAnsiTheme="majorBidi" w:cstheme="majorBidi"/>
          <w:color w:val="252525"/>
          <w:lang w:val="en-AU"/>
        </w:rPr>
      </w:pPr>
      <w:r w:rsidRPr="008F2447">
        <w:rPr>
          <w:rFonts w:asciiTheme="majorBidi" w:hAnsiTheme="majorBidi" w:cstheme="majorBidi"/>
          <w:color w:val="252525"/>
          <w:lang w:val="en-AU"/>
        </w:rPr>
        <w:t>± Standard deviation; all tests are one-way ANOVA except *(Chi-square tests)</w:t>
      </w:r>
    </w:p>
    <w:p w14:paraId="2658C54C" w14:textId="77777777" w:rsidR="001E0057" w:rsidRPr="008F2447" w:rsidRDefault="001E0057" w:rsidP="001E0057">
      <w:pPr>
        <w:spacing w:line="480" w:lineRule="auto"/>
        <w:rPr>
          <w:rFonts w:asciiTheme="majorBidi" w:hAnsiTheme="majorBidi" w:cstheme="majorBidi"/>
          <w:color w:val="252525"/>
          <w:lang w:val="it-IT"/>
        </w:rPr>
      </w:pPr>
      <w:proofErr w:type="spellStart"/>
      <w:proofErr w:type="gramStart"/>
      <w:r w:rsidRPr="00E15B31">
        <w:rPr>
          <w:rFonts w:asciiTheme="majorBidi" w:hAnsiTheme="majorBidi" w:cstheme="majorBidi"/>
          <w:color w:val="252525"/>
          <w:vertAlign w:val="superscript"/>
          <w:lang w:val="en-AU"/>
        </w:rPr>
        <w:t>a</w:t>
      </w:r>
      <w:r w:rsidRPr="00E15B31">
        <w:rPr>
          <w:rFonts w:asciiTheme="majorBidi" w:hAnsiTheme="majorBidi" w:cstheme="majorBidi"/>
          <w:color w:val="252525"/>
          <w:lang w:val="en-AU"/>
        </w:rPr>
        <w:t>Significant</w:t>
      </w:r>
      <w:proofErr w:type="spellEnd"/>
      <w:proofErr w:type="gramEnd"/>
      <w:r w:rsidRPr="00E15B31">
        <w:rPr>
          <w:rFonts w:asciiTheme="majorBidi" w:hAnsiTheme="majorBidi" w:cstheme="majorBidi"/>
          <w:color w:val="252525"/>
          <w:lang w:val="en-AU"/>
        </w:rPr>
        <w:t xml:space="preserve"> difference to non-</w:t>
      </w:r>
      <w:proofErr w:type="spellStart"/>
      <w:r w:rsidRPr="00E15B31">
        <w:rPr>
          <w:rFonts w:asciiTheme="majorBidi" w:hAnsiTheme="majorBidi" w:cstheme="majorBidi"/>
          <w:color w:val="252525"/>
          <w:lang w:val="en-AU"/>
        </w:rPr>
        <w:t>sarcopenic</w:t>
      </w:r>
      <w:proofErr w:type="spellEnd"/>
      <w:r w:rsidRPr="00E15B31">
        <w:rPr>
          <w:rFonts w:asciiTheme="majorBidi" w:hAnsiTheme="majorBidi" w:cstheme="majorBidi"/>
          <w:color w:val="252525"/>
          <w:lang w:val="en-AU"/>
        </w:rPr>
        <w:t>/dyna</w:t>
      </w:r>
      <w:proofErr w:type="spellStart"/>
      <w:r w:rsidRPr="008F2447">
        <w:rPr>
          <w:rFonts w:asciiTheme="majorBidi" w:hAnsiTheme="majorBidi" w:cstheme="majorBidi"/>
          <w:color w:val="252525"/>
          <w:lang w:val="it-IT"/>
        </w:rPr>
        <w:t>penic</w:t>
      </w:r>
      <w:proofErr w:type="spellEnd"/>
      <w:r w:rsidRPr="008F2447">
        <w:rPr>
          <w:rFonts w:asciiTheme="majorBidi" w:hAnsiTheme="majorBidi" w:cstheme="majorBidi"/>
          <w:color w:val="252525"/>
          <w:lang w:val="it-IT"/>
        </w:rPr>
        <w:t>, non obese</w:t>
      </w:r>
    </w:p>
    <w:p w14:paraId="3695B8A5" w14:textId="77777777" w:rsidR="001E0057" w:rsidRPr="008F2447" w:rsidRDefault="001E0057" w:rsidP="001E0057">
      <w:pPr>
        <w:spacing w:line="480" w:lineRule="auto"/>
        <w:rPr>
          <w:rFonts w:asciiTheme="majorBidi" w:hAnsiTheme="majorBidi" w:cstheme="majorBidi"/>
          <w:color w:val="252525"/>
          <w:lang w:val="en-AU"/>
        </w:rPr>
      </w:pPr>
      <w:proofErr w:type="spellStart"/>
      <w:proofErr w:type="gramStart"/>
      <w:r w:rsidRPr="008F2447">
        <w:rPr>
          <w:rFonts w:asciiTheme="majorBidi" w:hAnsiTheme="majorBidi" w:cstheme="majorBidi"/>
          <w:color w:val="252525"/>
          <w:vertAlign w:val="superscript"/>
          <w:lang w:val="en-AU"/>
        </w:rPr>
        <w:t>b</w:t>
      </w:r>
      <w:r w:rsidRPr="008F2447">
        <w:rPr>
          <w:rFonts w:asciiTheme="majorBidi" w:hAnsiTheme="majorBidi" w:cstheme="majorBidi"/>
          <w:color w:val="252525"/>
          <w:lang w:val="en-AU"/>
        </w:rPr>
        <w:t>Significant</w:t>
      </w:r>
      <w:proofErr w:type="spellEnd"/>
      <w:proofErr w:type="gramEnd"/>
      <w:r w:rsidRPr="008F2447">
        <w:rPr>
          <w:rFonts w:asciiTheme="majorBidi" w:hAnsiTheme="majorBidi" w:cstheme="majorBidi"/>
          <w:color w:val="252525"/>
          <w:lang w:val="en-AU"/>
        </w:rPr>
        <w:t xml:space="preserve"> difference to non-</w:t>
      </w:r>
      <w:proofErr w:type="spellStart"/>
      <w:r w:rsidRPr="008F2447">
        <w:rPr>
          <w:rFonts w:asciiTheme="majorBidi" w:hAnsiTheme="majorBidi" w:cstheme="majorBidi"/>
          <w:color w:val="252525"/>
          <w:lang w:val="en-AU"/>
        </w:rPr>
        <w:t>sarcopenic</w:t>
      </w:r>
      <w:proofErr w:type="spellEnd"/>
      <w:r w:rsidRPr="008F2447">
        <w:rPr>
          <w:rFonts w:asciiTheme="majorBidi" w:hAnsiTheme="majorBidi" w:cstheme="majorBidi"/>
          <w:color w:val="252525"/>
          <w:lang w:val="en-AU"/>
        </w:rPr>
        <w:t>/</w:t>
      </w:r>
      <w:proofErr w:type="spellStart"/>
      <w:r w:rsidRPr="008F2447">
        <w:rPr>
          <w:rFonts w:asciiTheme="majorBidi" w:hAnsiTheme="majorBidi" w:cstheme="majorBidi"/>
          <w:color w:val="252525"/>
          <w:lang w:val="en-AU"/>
        </w:rPr>
        <w:t>dynapenic</w:t>
      </w:r>
      <w:proofErr w:type="spellEnd"/>
      <w:r w:rsidRPr="008F2447">
        <w:rPr>
          <w:rFonts w:asciiTheme="majorBidi" w:hAnsiTheme="majorBidi" w:cstheme="majorBidi"/>
          <w:color w:val="252525"/>
          <w:lang w:val="en-AU"/>
        </w:rPr>
        <w:t>, obese</w:t>
      </w:r>
    </w:p>
    <w:p w14:paraId="28D96916" w14:textId="77777777" w:rsidR="001E0057" w:rsidRPr="008F2447" w:rsidRDefault="001E0057" w:rsidP="001E0057">
      <w:pPr>
        <w:spacing w:line="480" w:lineRule="auto"/>
        <w:rPr>
          <w:rFonts w:asciiTheme="majorBidi" w:hAnsiTheme="majorBidi" w:cstheme="majorBidi"/>
          <w:color w:val="252525"/>
          <w:lang w:val="en-AU"/>
        </w:rPr>
      </w:pPr>
      <w:proofErr w:type="spellStart"/>
      <w:proofErr w:type="gramStart"/>
      <w:r w:rsidRPr="008F2447">
        <w:rPr>
          <w:rFonts w:asciiTheme="majorBidi" w:hAnsiTheme="majorBidi" w:cstheme="majorBidi"/>
          <w:color w:val="252525"/>
          <w:vertAlign w:val="superscript"/>
          <w:lang w:val="en-AU"/>
        </w:rPr>
        <w:t>c</w:t>
      </w:r>
      <w:r w:rsidRPr="008F2447">
        <w:rPr>
          <w:rFonts w:asciiTheme="majorBidi" w:hAnsiTheme="majorBidi" w:cstheme="majorBidi"/>
          <w:color w:val="252525"/>
          <w:lang w:val="en-AU"/>
        </w:rPr>
        <w:t>Significant</w:t>
      </w:r>
      <w:proofErr w:type="spellEnd"/>
      <w:proofErr w:type="gramEnd"/>
      <w:r w:rsidRPr="008F2447">
        <w:rPr>
          <w:rFonts w:asciiTheme="majorBidi" w:hAnsiTheme="majorBidi" w:cstheme="majorBidi"/>
          <w:color w:val="252525"/>
          <w:lang w:val="en-AU"/>
        </w:rPr>
        <w:t xml:space="preserve"> difference to </w:t>
      </w:r>
      <w:proofErr w:type="spellStart"/>
      <w:r w:rsidRPr="008F2447">
        <w:rPr>
          <w:rFonts w:asciiTheme="majorBidi" w:hAnsiTheme="majorBidi" w:cstheme="majorBidi"/>
          <w:color w:val="252525"/>
          <w:lang w:val="en-AU"/>
        </w:rPr>
        <w:t>sarcopenic</w:t>
      </w:r>
      <w:proofErr w:type="spellEnd"/>
      <w:r w:rsidRPr="008F2447">
        <w:rPr>
          <w:rFonts w:asciiTheme="majorBidi" w:hAnsiTheme="majorBidi" w:cstheme="majorBidi"/>
          <w:color w:val="252525"/>
          <w:lang w:val="en-AU"/>
        </w:rPr>
        <w:t>/</w:t>
      </w:r>
      <w:proofErr w:type="spellStart"/>
      <w:r w:rsidRPr="008F2447">
        <w:rPr>
          <w:rFonts w:asciiTheme="majorBidi" w:hAnsiTheme="majorBidi" w:cstheme="majorBidi"/>
          <w:color w:val="252525"/>
          <w:lang w:val="en-AU"/>
        </w:rPr>
        <w:t>dynapenic</w:t>
      </w:r>
      <w:proofErr w:type="spellEnd"/>
      <w:r w:rsidRPr="008F2447">
        <w:rPr>
          <w:rFonts w:asciiTheme="majorBidi" w:hAnsiTheme="majorBidi" w:cstheme="majorBidi"/>
          <w:color w:val="252525"/>
          <w:lang w:val="en-AU"/>
        </w:rPr>
        <w:t>, non-obese</w:t>
      </w:r>
    </w:p>
    <w:p w14:paraId="37A12DFC" w14:textId="77777777" w:rsidR="001E0057" w:rsidRPr="00F4381F" w:rsidRDefault="001E0057" w:rsidP="001E0057">
      <w:pPr>
        <w:rPr>
          <w:rFonts w:asciiTheme="majorBidi" w:hAnsiTheme="majorBidi" w:cstheme="majorBidi"/>
        </w:rPr>
      </w:pPr>
      <w:proofErr w:type="spellStart"/>
      <w:proofErr w:type="gramStart"/>
      <w:r w:rsidRPr="008F2447">
        <w:rPr>
          <w:rFonts w:asciiTheme="majorBidi" w:hAnsiTheme="majorBidi" w:cstheme="majorBidi"/>
          <w:color w:val="252525"/>
          <w:vertAlign w:val="superscript"/>
          <w:lang w:val="en-AU"/>
        </w:rPr>
        <w:t>d</w:t>
      </w:r>
      <w:r w:rsidRPr="008F2447">
        <w:rPr>
          <w:rFonts w:asciiTheme="majorBidi" w:hAnsiTheme="majorBidi" w:cstheme="majorBidi"/>
          <w:color w:val="252525"/>
          <w:lang w:val="en-AU"/>
        </w:rPr>
        <w:t>Significant</w:t>
      </w:r>
      <w:proofErr w:type="spellEnd"/>
      <w:proofErr w:type="gramEnd"/>
      <w:r w:rsidRPr="008F2447">
        <w:rPr>
          <w:rFonts w:asciiTheme="majorBidi" w:hAnsiTheme="majorBidi" w:cstheme="majorBidi"/>
          <w:color w:val="252525"/>
          <w:lang w:val="en-AU"/>
        </w:rPr>
        <w:t xml:space="preserve"> difference to </w:t>
      </w:r>
      <w:proofErr w:type="spellStart"/>
      <w:r w:rsidRPr="008F2447">
        <w:rPr>
          <w:rFonts w:asciiTheme="majorBidi" w:hAnsiTheme="majorBidi" w:cstheme="majorBidi"/>
          <w:color w:val="252525"/>
          <w:lang w:val="en-AU"/>
        </w:rPr>
        <w:t>sarcopenic</w:t>
      </w:r>
      <w:proofErr w:type="spellEnd"/>
      <w:r w:rsidRPr="008F2447">
        <w:rPr>
          <w:rFonts w:asciiTheme="majorBidi" w:hAnsiTheme="majorBidi" w:cstheme="majorBidi"/>
          <w:color w:val="252525"/>
          <w:lang w:val="en-AU"/>
        </w:rPr>
        <w:t>/</w:t>
      </w:r>
      <w:proofErr w:type="spellStart"/>
      <w:r w:rsidRPr="008F2447">
        <w:rPr>
          <w:rFonts w:asciiTheme="majorBidi" w:hAnsiTheme="majorBidi" w:cstheme="majorBidi"/>
          <w:color w:val="252525"/>
          <w:lang w:val="en-AU"/>
        </w:rPr>
        <w:t>dynapenic</w:t>
      </w:r>
      <w:proofErr w:type="spellEnd"/>
      <w:r w:rsidRPr="008F2447">
        <w:rPr>
          <w:rFonts w:asciiTheme="majorBidi" w:hAnsiTheme="majorBidi" w:cstheme="majorBidi"/>
          <w:color w:val="252525"/>
          <w:lang w:val="en-AU"/>
        </w:rPr>
        <w:t xml:space="preserve"> obese (</w:t>
      </w:r>
      <w:proofErr w:type="spellStart"/>
      <w:r w:rsidRPr="008F2447">
        <w:rPr>
          <w:rFonts w:asciiTheme="majorBidi" w:hAnsiTheme="majorBidi" w:cstheme="majorBidi"/>
          <w:color w:val="252525"/>
          <w:lang w:val="en-AU"/>
        </w:rPr>
        <w:t>Bonferroni</w:t>
      </w:r>
      <w:proofErr w:type="spellEnd"/>
      <w:r w:rsidRPr="008F2447">
        <w:rPr>
          <w:rFonts w:asciiTheme="majorBidi" w:hAnsiTheme="majorBidi" w:cstheme="majorBidi"/>
          <w:color w:val="252525"/>
          <w:lang w:val="en-AU"/>
        </w:rPr>
        <w:t xml:space="preserve"> post-hoc tests)</w:t>
      </w:r>
    </w:p>
    <w:p w14:paraId="1457509D" w14:textId="77777777" w:rsidR="001E0057" w:rsidRDefault="001E0057">
      <w:pPr>
        <w:rPr>
          <w:rFonts w:ascii="Times New Roman" w:hAnsi="Times New Roman"/>
          <w:b/>
          <w:bCs/>
        </w:rPr>
        <w:sectPr w:rsidR="001E0057" w:rsidSect="00F4381F">
          <w:pgSz w:w="16838" w:h="11906" w:orient="landscape"/>
          <w:pgMar w:top="1440" w:right="1440" w:bottom="1440" w:left="1440" w:header="708" w:footer="708" w:gutter="0"/>
          <w:cols w:space="708"/>
          <w:docGrid w:linePitch="360"/>
        </w:sectPr>
      </w:pPr>
    </w:p>
    <w:p w14:paraId="6B33D0F3" w14:textId="77777777" w:rsidR="001E0057" w:rsidRPr="008F2447" w:rsidRDefault="001E0057" w:rsidP="001E0057">
      <w:pPr>
        <w:pStyle w:val="Caption"/>
        <w:spacing w:line="480" w:lineRule="auto"/>
        <w:rPr>
          <w:rFonts w:asciiTheme="majorBidi" w:hAnsiTheme="majorBidi" w:cstheme="majorBidi"/>
          <w:color w:val="auto"/>
          <w:sz w:val="24"/>
          <w:szCs w:val="24"/>
        </w:rPr>
      </w:pPr>
      <w:r>
        <w:rPr>
          <w:rFonts w:asciiTheme="majorBidi" w:hAnsiTheme="majorBidi" w:cstheme="majorBidi"/>
          <w:color w:val="auto"/>
          <w:sz w:val="24"/>
          <w:szCs w:val="24"/>
        </w:rPr>
        <w:lastRenderedPageBreak/>
        <w:t>Table 2</w:t>
      </w:r>
      <w:r w:rsidRPr="008F2447">
        <w:rPr>
          <w:rFonts w:asciiTheme="majorBidi" w:hAnsiTheme="majorBidi" w:cstheme="majorBidi"/>
          <w:color w:val="auto"/>
          <w:sz w:val="24"/>
          <w:szCs w:val="24"/>
        </w:rPr>
        <w:t>. Regression coefficients expressing baseline differences in bone mineral density (g/cm</w:t>
      </w:r>
      <w:r w:rsidRPr="008F2447">
        <w:rPr>
          <w:rFonts w:asciiTheme="majorBidi" w:hAnsiTheme="majorBidi" w:cstheme="majorBidi"/>
          <w:color w:val="auto"/>
          <w:sz w:val="24"/>
          <w:szCs w:val="24"/>
          <w:vertAlign w:val="superscript"/>
        </w:rPr>
        <w:t>2</w:t>
      </w:r>
      <w:r w:rsidRPr="008F2447">
        <w:rPr>
          <w:rFonts w:asciiTheme="majorBidi" w:hAnsiTheme="majorBidi" w:cstheme="majorBidi"/>
          <w:color w:val="auto"/>
          <w:sz w:val="24"/>
          <w:szCs w:val="24"/>
        </w:rPr>
        <w:t xml:space="preserve">) according to </w:t>
      </w:r>
      <w:proofErr w:type="spellStart"/>
      <w:r w:rsidRPr="008F2447">
        <w:rPr>
          <w:rFonts w:asciiTheme="majorBidi" w:hAnsiTheme="majorBidi" w:cstheme="majorBidi"/>
          <w:color w:val="auto"/>
          <w:sz w:val="24"/>
          <w:szCs w:val="24"/>
        </w:rPr>
        <w:t>sarcopenic</w:t>
      </w:r>
      <w:proofErr w:type="spellEnd"/>
      <w:r w:rsidRPr="008F2447">
        <w:rPr>
          <w:rFonts w:asciiTheme="majorBidi" w:hAnsiTheme="majorBidi" w:cstheme="majorBidi"/>
          <w:color w:val="auto"/>
          <w:sz w:val="24"/>
          <w:szCs w:val="24"/>
        </w:rPr>
        <w:t xml:space="preserve"> and </w:t>
      </w:r>
      <w:proofErr w:type="spellStart"/>
      <w:r w:rsidRPr="008F2447">
        <w:rPr>
          <w:rFonts w:asciiTheme="majorBidi" w:hAnsiTheme="majorBidi" w:cstheme="majorBidi"/>
          <w:color w:val="auto"/>
          <w:sz w:val="24"/>
          <w:szCs w:val="24"/>
        </w:rPr>
        <w:t>dynapenic</w:t>
      </w:r>
      <w:proofErr w:type="spellEnd"/>
      <w:r w:rsidRPr="008F2447">
        <w:rPr>
          <w:rFonts w:asciiTheme="majorBidi" w:hAnsiTheme="majorBidi" w:cstheme="majorBidi"/>
          <w:color w:val="auto"/>
          <w:sz w:val="24"/>
          <w:szCs w:val="24"/>
        </w:rPr>
        <w:t xml:space="preserve"> obesity categories</w:t>
      </w:r>
    </w:p>
    <w:tbl>
      <w:tblPr>
        <w:tblStyle w:val="TableGrid"/>
        <w:tblW w:w="0" w:type="auto"/>
        <w:tblLayout w:type="fixed"/>
        <w:tblLook w:val="04A0" w:firstRow="1" w:lastRow="0" w:firstColumn="1" w:lastColumn="0" w:noHBand="0" w:noVBand="1"/>
      </w:tblPr>
      <w:tblGrid>
        <w:gridCol w:w="1550"/>
        <w:gridCol w:w="1550"/>
        <w:gridCol w:w="1550"/>
        <w:gridCol w:w="1550"/>
        <w:gridCol w:w="1550"/>
        <w:gridCol w:w="1550"/>
        <w:gridCol w:w="1550"/>
        <w:gridCol w:w="1550"/>
        <w:gridCol w:w="1550"/>
      </w:tblGrid>
      <w:tr w:rsidR="001E0057" w:rsidRPr="008F2447" w14:paraId="6A895AFB" w14:textId="77777777" w:rsidTr="003011AA">
        <w:tc>
          <w:tcPr>
            <w:tcW w:w="13950" w:type="dxa"/>
            <w:gridSpan w:val="9"/>
            <w:tcBorders>
              <w:top w:val="single" w:sz="18" w:space="0" w:color="auto"/>
              <w:left w:val="nil"/>
              <w:bottom w:val="single" w:sz="18" w:space="0" w:color="auto"/>
              <w:right w:val="nil"/>
            </w:tcBorders>
            <w:shd w:val="clear" w:color="000000" w:fill="BFBFBF"/>
            <w:vAlign w:val="center"/>
          </w:tcPr>
          <w:p w14:paraId="3DE3E307" w14:textId="77777777" w:rsidR="001E0057" w:rsidRPr="008F2447" w:rsidRDefault="001E0057" w:rsidP="003011AA">
            <w:pPr>
              <w:spacing w:line="480" w:lineRule="auto"/>
              <w:jc w:val="center"/>
              <w:rPr>
                <w:rFonts w:asciiTheme="majorBidi" w:hAnsiTheme="majorBidi" w:cstheme="majorBidi"/>
                <w:b/>
                <w:bCs/>
                <w:i/>
                <w:iCs/>
              </w:rPr>
            </w:pPr>
            <w:r w:rsidRPr="008F2447">
              <w:rPr>
                <w:rFonts w:asciiTheme="majorBidi" w:hAnsiTheme="majorBidi" w:cstheme="majorBidi"/>
                <w:b/>
                <w:bCs/>
                <w:i/>
                <w:iCs/>
              </w:rPr>
              <w:t>Males</w:t>
            </w:r>
          </w:p>
        </w:tc>
      </w:tr>
      <w:tr w:rsidR="001E0057" w:rsidRPr="008F2447" w14:paraId="6ABF3BDE" w14:textId="77777777" w:rsidTr="003011AA">
        <w:tc>
          <w:tcPr>
            <w:tcW w:w="1550" w:type="dxa"/>
            <w:tcBorders>
              <w:top w:val="single" w:sz="18" w:space="0" w:color="auto"/>
              <w:left w:val="nil"/>
              <w:bottom w:val="single" w:sz="18" w:space="0" w:color="auto"/>
            </w:tcBorders>
            <w:shd w:val="clear" w:color="000000" w:fill="BFBFBF"/>
            <w:vAlign w:val="center"/>
          </w:tcPr>
          <w:p w14:paraId="32744E6A" w14:textId="77777777" w:rsidR="001E0057" w:rsidRPr="008F2447" w:rsidRDefault="001E0057" w:rsidP="003011AA">
            <w:pPr>
              <w:spacing w:line="480" w:lineRule="auto"/>
              <w:jc w:val="center"/>
              <w:rPr>
                <w:rFonts w:asciiTheme="majorBidi" w:hAnsiTheme="majorBidi" w:cstheme="majorBidi"/>
              </w:rPr>
            </w:pPr>
          </w:p>
        </w:tc>
        <w:tc>
          <w:tcPr>
            <w:tcW w:w="1550" w:type="dxa"/>
            <w:tcBorders>
              <w:top w:val="single" w:sz="18" w:space="0" w:color="auto"/>
              <w:bottom w:val="single" w:sz="18" w:space="0" w:color="auto"/>
              <w:right w:val="single" w:sz="4" w:space="0" w:color="auto"/>
            </w:tcBorders>
            <w:shd w:val="clear" w:color="000000" w:fill="BFBFBF"/>
            <w:vAlign w:val="center"/>
          </w:tcPr>
          <w:p w14:paraId="32F0FC52"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non-obese</w:t>
            </w:r>
          </w:p>
          <w:p w14:paraId="620C9806"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N=218</w:t>
            </w:r>
          </w:p>
        </w:tc>
        <w:tc>
          <w:tcPr>
            <w:tcW w:w="1550" w:type="dxa"/>
            <w:tcBorders>
              <w:top w:val="single" w:sz="18" w:space="0" w:color="auto"/>
              <w:left w:val="single" w:sz="4" w:space="0" w:color="auto"/>
              <w:bottom w:val="single" w:sz="18" w:space="0" w:color="auto"/>
            </w:tcBorders>
            <w:shd w:val="clear" w:color="000000" w:fill="BFBFBF"/>
            <w:vAlign w:val="center"/>
          </w:tcPr>
          <w:p w14:paraId="18310DE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obese</w:t>
            </w:r>
          </w:p>
          <w:p w14:paraId="2CEF03B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N=118</w:t>
            </w:r>
          </w:p>
        </w:tc>
        <w:tc>
          <w:tcPr>
            <w:tcW w:w="1550" w:type="dxa"/>
            <w:tcBorders>
              <w:top w:val="single" w:sz="18" w:space="0" w:color="auto"/>
              <w:bottom w:val="single" w:sz="18" w:space="0" w:color="auto"/>
            </w:tcBorders>
            <w:shd w:val="clear" w:color="000000" w:fill="BFBFBF"/>
            <w:vAlign w:val="center"/>
          </w:tcPr>
          <w:p w14:paraId="686EC1DF"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non-obese N=105</w:t>
            </w:r>
          </w:p>
        </w:tc>
        <w:tc>
          <w:tcPr>
            <w:tcW w:w="1550" w:type="dxa"/>
            <w:tcBorders>
              <w:top w:val="single" w:sz="18" w:space="0" w:color="auto"/>
              <w:bottom w:val="single" w:sz="18" w:space="0" w:color="auto"/>
              <w:right w:val="single" w:sz="18" w:space="0" w:color="auto"/>
            </w:tcBorders>
            <w:shd w:val="clear" w:color="000000" w:fill="BFBFBF"/>
            <w:vAlign w:val="center"/>
          </w:tcPr>
          <w:p w14:paraId="7C1076E7"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w:t>
            </w:r>
          </w:p>
          <w:p w14:paraId="1EAE758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N=58</w:t>
            </w:r>
          </w:p>
        </w:tc>
        <w:tc>
          <w:tcPr>
            <w:tcW w:w="1550" w:type="dxa"/>
            <w:tcBorders>
              <w:top w:val="single" w:sz="18" w:space="0" w:color="auto"/>
              <w:left w:val="single" w:sz="18" w:space="0" w:color="auto"/>
              <w:bottom w:val="single" w:sz="18" w:space="0" w:color="auto"/>
            </w:tcBorders>
            <w:shd w:val="clear" w:color="000000" w:fill="BFBFBF"/>
            <w:vAlign w:val="center"/>
          </w:tcPr>
          <w:p w14:paraId="25DF8E64"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non-obese N=203</w:t>
            </w:r>
          </w:p>
        </w:tc>
        <w:tc>
          <w:tcPr>
            <w:tcW w:w="1550" w:type="dxa"/>
            <w:tcBorders>
              <w:top w:val="single" w:sz="18" w:space="0" w:color="auto"/>
              <w:bottom w:val="single" w:sz="18" w:space="0" w:color="auto"/>
            </w:tcBorders>
            <w:shd w:val="clear" w:color="000000" w:fill="BFBFBF"/>
            <w:vAlign w:val="center"/>
          </w:tcPr>
          <w:p w14:paraId="0C665DB6"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4E25B84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N=115</w:t>
            </w:r>
          </w:p>
        </w:tc>
        <w:tc>
          <w:tcPr>
            <w:tcW w:w="1550" w:type="dxa"/>
            <w:tcBorders>
              <w:top w:val="single" w:sz="18" w:space="0" w:color="auto"/>
              <w:bottom w:val="single" w:sz="18" w:space="0" w:color="auto"/>
            </w:tcBorders>
            <w:shd w:val="clear" w:color="000000" w:fill="BFBFBF"/>
            <w:vAlign w:val="center"/>
          </w:tcPr>
          <w:p w14:paraId="181A64BE"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non-obese N=112</w:t>
            </w:r>
          </w:p>
        </w:tc>
        <w:tc>
          <w:tcPr>
            <w:tcW w:w="1550" w:type="dxa"/>
            <w:tcBorders>
              <w:top w:val="single" w:sz="18" w:space="0" w:color="auto"/>
              <w:bottom w:val="single" w:sz="18" w:space="0" w:color="auto"/>
              <w:right w:val="nil"/>
            </w:tcBorders>
            <w:shd w:val="clear" w:color="000000" w:fill="BFBFBF"/>
            <w:vAlign w:val="center"/>
          </w:tcPr>
          <w:p w14:paraId="4797794E"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19158C9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N=51</w:t>
            </w:r>
          </w:p>
        </w:tc>
      </w:tr>
      <w:tr w:rsidR="001E0057" w:rsidRPr="008F2447" w14:paraId="2A4A57A6" w14:textId="77777777" w:rsidTr="003011AA">
        <w:tc>
          <w:tcPr>
            <w:tcW w:w="1550" w:type="dxa"/>
            <w:tcBorders>
              <w:top w:val="single" w:sz="18" w:space="0" w:color="auto"/>
              <w:left w:val="nil"/>
            </w:tcBorders>
            <w:vAlign w:val="center"/>
          </w:tcPr>
          <w:p w14:paraId="4568AAA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Hip BMD</w:t>
            </w:r>
          </w:p>
        </w:tc>
        <w:tc>
          <w:tcPr>
            <w:tcW w:w="1550" w:type="dxa"/>
            <w:tcBorders>
              <w:top w:val="single" w:sz="18" w:space="0" w:color="auto"/>
            </w:tcBorders>
            <w:vAlign w:val="center"/>
          </w:tcPr>
          <w:p w14:paraId="5B66F3C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17A2D47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0.04 (0.01, 0.07)*</w:t>
            </w:r>
          </w:p>
        </w:tc>
        <w:tc>
          <w:tcPr>
            <w:tcW w:w="1550" w:type="dxa"/>
            <w:tcBorders>
              <w:top w:val="single" w:sz="18" w:space="0" w:color="auto"/>
            </w:tcBorders>
            <w:vAlign w:val="center"/>
          </w:tcPr>
          <w:p w14:paraId="5CBE85E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0</w:t>
            </w:r>
            <w:r w:rsidRPr="008F2447">
              <w:rPr>
                <w:rFonts w:asciiTheme="majorBidi" w:hAnsiTheme="majorBidi" w:cstheme="majorBidi"/>
              </w:rPr>
              <w:t>7 (-0.10, -0.04)*^</w:t>
            </w:r>
          </w:p>
        </w:tc>
        <w:tc>
          <w:tcPr>
            <w:tcW w:w="1550" w:type="dxa"/>
            <w:tcBorders>
              <w:top w:val="single" w:sz="18" w:space="0" w:color="auto"/>
              <w:right w:val="single" w:sz="18" w:space="0" w:color="auto"/>
            </w:tcBorders>
            <w:vAlign w:val="center"/>
          </w:tcPr>
          <w:p w14:paraId="14245F4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 xml:space="preserve"> (-0.0</w:t>
            </w:r>
            <w:r>
              <w:rPr>
                <w:rFonts w:asciiTheme="majorBidi" w:hAnsiTheme="majorBidi" w:cstheme="majorBidi"/>
              </w:rPr>
              <w:t>3</w:t>
            </w:r>
            <w:r w:rsidRPr="008F2447">
              <w:rPr>
                <w:rFonts w:asciiTheme="majorBidi" w:hAnsiTheme="majorBidi" w:cstheme="majorBidi"/>
              </w:rPr>
              <w:t>, 0.0</w:t>
            </w:r>
            <w:r>
              <w:rPr>
                <w:rFonts w:asciiTheme="majorBidi" w:hAnsiTheme="majorBidi" w:cstheme="majorBidi"/>
              </w:rPr>
              <w:t>5</w:t>
            </w:r>
            <w:r w:rsidRPr="008F2447">
              <w:rPr>
                <w:rFonts w:asciiTheme="majorBidi" w:hAnsiTheme="majorBidi" w:cstheme="majorBidi"/>
              </w:rPr>
              <w:t>)</w:t>
            </w:r>
          </w:p>
        </w:tc>
        <w:tc>
          <w:tcPr>
            <w:tcW w:w="1550" w:type="dxa"/>
            <w:tcBorders>
              <w:top w:val="single" w:sz="18" w:space="0" w:color="auto"/>
              <w:left w:val="single" w:sz="18" w:space="0" w:color="auto"/>
            </w:tcBorders>
            <w:vAlign w:val="center"/>
          </w:tcPr>
          <w:p w14:paraId="5268685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0A77658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0.06 (0.03, 0.09)*</w:t>
            </w:r>
          </w:p>
        </w:tc>
        <w:tc>
          <w:tcPr>
            <w:tcW w:w="1550" w:type="dxa"/>
            <w:tcBorders>
              <w:top w:val="single" w:sz="18" w:space="0" w:color="auto"/>
            </w:tcBorders>
            <w:vAlign w:val="center"/>
          </w:tcPr>
          <w:p w14:paraId="217F1EC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2</w:t>
            </w:r>
            <w:r w:rsidRPr="008F2447">
              <w:rPr>
                <w:rFonts w:asciiTheme="majorBidi" w:hAnsiTheme="majorBidi" w:cstheme="majorBidi"/>
              </w:rPr>
              <w:t xml:space="preserve"> (-0.06, 0.01)^</w:t>
            </w:r>
          </w:p>
        </w:tc>
        <w:tc>
          <w:tcPr>
            <w:tcW w:w="1550" w:type="dxa"/>
            <w:tcBorders>
              <w:top w:val="single" w:sz="18" w:space="0" w:color="auto"/>
              <w:right w:val="nil"/>
            </w:tcBorders>
            <w:vAlign w:val="center"/>
          </w:tcPr>
          <w:p w14:paraId="24CB676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0.03 (-0.01, 0.0</w:t>
            </w:r>
            <w:r>
              <w:rPr>
                <w:rFonts w:asciiTheme="majorBidi" w:hAnsiTheme="majorBidi" w:cstheme="majorBidi"/>
              </w:rPr>
              <w:t>8</w:t>
            </w:r>
            <w:r w:rsidRPr="008F2447">
              <w:rPr>
                <w:rFonts w:asciiTheme="majorBidi" w:hAnsiTheme="majorBidi" w:cstheme="majorBidi"/>
              </w:rPr>
              <w:t>)</w:t>
            </w:r>
          </w:p>
        </w:tc>
      </w:tr>
      <w:tr w:rsidR="001E0057" w:rsidRPr="008F2447" w14:paraId="00CC7D7B" w14:textId="77777777" w:rsidTr="003011AA">
        <w:tc>
          <w:tcPr>
            <w:tcW w:w="1550" w:type="dxa"/>
            <w:tcBorders>
              <w:left w:val="nil"/>
            </w:tcBorders>
            <w:vAlign w:val="center"/>
          </w:tcPr>
          <w:p w14:paraId="0111398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BMD</w:t>
            </w:r>
          </w:p>
        </w:tc>
        <w:tc>
          <w:tcPr>
            <w:tcW w:w="1550" w:type="dxa"/>
            <w:vAlign w:val="center"/>
          </w:tcPr>
          <w:p w14:paraId="0CD78DD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vAlign w:val="center"/>
          </w:tcPr>
          <w:p w14:paraId="4469164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0.05 (0.01, 0.09)*</w:t>
            </w:r>
          </w:p>
        </w:tc>
        <w:tc>
          <w:tcPr>
            <w:tcW w:w="1550" w:type="dxa"/>
            <w:vAlign w:val="center"/>
          </w:tcPr>
          <w:p w14:paraId="0E883E0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-0.06 (-0.10, -0.02)*^</w:t>
            </w:r>
          </w:p>
        </w:tc>
        <w:tc>
          <w:tcPr>
            <w:tcW w:w="1550" w:type="dxa"/>
            <w:tcBorders>
              <w:right w:val="single" w:sz="18" w:space="0" w:color="auto"/>
            </w:tcBorders>
            <w:vAlign w:val="center"/>
          </w:tcPr>
          <w:p w14:paraId="1BBF81E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2</w:t>
            </w:r>
            <w:r w:rsidRPr="008F2447">
              <w:rPr>
                <w:rFonts w:asciiTheme="majorBidi" w:hAnsiTheme="majorBidi" w:cstheme="majorBidi"/>
              </w:rPr>
              <w:t xml:space="preserve"> (-0.07, 0.0</w:t>
            </w:r>
            <w:r>
              <w:rPr>
                <w:rFonts w:asciiTheme="majorBidi" w:hAnsiTheme="majorBidi" w:cstheme="majorBidi"/>
              </w:rPr>
              <w:t>3</w:t>
            </w:r>
            <w:r w:rsidRPr="008F2447">
              <w:rPr>
                <w:rFonts w:asciiTheme="majorBidi" w:hAnsiTheme="majorBidi" w:cstheme="majorBidi"/>
              </w:rPr>
              <w:t>)^</w:t>
            </w:r>
          </w:p>
        </w:tc>
        <w:tc>
          <w:tcPr>
            <w:tcW w:w="1550" w:type="dxa"/>
            <w:tcBorders>
              <w:left w:val="single" w:sz="18" w:space="0" w:color="auto"/>
            </w:tcBorders>
            <w:vAlign w:val="center"/>
          </w:tcPr>
          <w:p w14:paraId="1CE871F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vAlign w:val="center"/>
          </w:tcPr>
          <w:p w14:paraId="1C67BBF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0.05 (0.01, 0.09)*</w:t>
            </w:r>
          </w:p>
        </w:tc>
        <w:tc>
          <w:tcPr>
            <w:tcW w:w="1550" w:type="dxa"/>
            <w:vAlign w:val="center"/>
          </w:tcPr>
          <w:p w14:paraId="52A19F0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6</w:t>
            </w:r>
            <w:r w:rsidRPr="008F2447">
              <w:rPr>
                <w:rFonts w:asciiTheme="majorBidi" w:hAnsiTheme="majorBidi" w:cstheme="majorBidi"/>
              </w:rPr>
              <w:t xml:space="preserve"> (-0.</w:t>
            </w:r>
            <w:r>
              <w:rPr>
                <w:rFonts w:asciiTheme="majorBidi" w:hAnsiTheme="majorBidi" w:cstheme="majorBidi"/>
              </w:rPr>
              <w:t>10</w:t>
            </w:r>
            <w:r w:rsidRPr="008F2447">
              <w:rPr>
                <w:rFonts w:asciiTheme="majorBidi" w:hAnsiTheme="majorBidi" w:cstheme="majorBidi"/>
              </w:rPr>
              <w:t>, -0.0</w:t>
            </w:r>
            <w:r>
              <w:rPr>
                <w:rFonts w:asciiTheme="majorBidi" w:hAnsiTheme="majorBidi" w:cstheme="majorBidi"/>
              </w:rPr>
              <w:t>2</w:t>
            </w:r>
            <w:r w:rsidRPr="008F2447">
              <w:rPr>
                <w:rFonts w:asciiTheme="majorBidi" w:hAnsiTheme="majorBidi" w:cstheme="majorBidi"/>
              </w:rPr>
              <w:t>)*^</w:t>
            </w:r>
          </w:p>
        </w:tc>
        <w:tc>
          <w:tcPr>
            <w:tcW w:w="1550" w:type="dxa"/>
            <w:tcBorders>
              <w:right w:val="nil"/>
            </w:tcBorders>
            <w:vAlign w:val="center"/>
          </w:tcPr>
          <w:p w14:paraId="1D5FD71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2</w:t>
            </w:r>
            <w:r w:rsidRPr="008F2447">
              <w:rPr>
                <w:rFonts w:asciiTheme="majorBidi" w:hAnsiTheme="majorBidi" w:cstheme="majorBidi"/>
              </w:rPr>
              <w:t xml:space="preserve"> (-0.04, 0.07)</w:t>
            </w:r>
          </w:p>
        </w:tc>
      </w:tr>
      <w:tr w:rsidR="001E0057" w:rsidRPr="008F2447" w14:paraId="520F0C7E" w14:textId="77777777" w:rsidTr="003011AA">
        <w:tc>
          <w:tcPr>
            <w:tcW w:w="1550" w:type="dxa"/>
            <w:tcBorders>
              <w:left w:val="nil"/>
              <w:bottom w:val="single" w:sz="18" w:space="0" w:color="auto"/>
            </w:tcBorders>
            <w:vAlign w:val="center"/>
          </w:tcPr>
          <w:p w14:paraId="3FF69A8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Body BMD</w:t>
            </w:r>
          </w:p>
        </w:tc>
        <w:tc>
          <w:tcPr>
            <w:tcW w:w="1550" w:type="dxa"/>
            <w:tcBorders>
              <w:bottom w:val="single" w:sz="18" w:space="0" w:color="auto"/>
            </w:tcBorders>
            <w:vAlign w:val="center"/>
          </w:tcPr>
          <w:p w14:paraId="7292BB0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021EEC1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0.02 (-0.01, 0.04)</w:t>
            </w:r>
          </w:p>
        </w:tc>
        <w:tc>
          <w:tcPr>
            <w:tcW w:w="1550" w:type="dxa"/>
            <w:tcBorders>
              <w:bottom w:val="single" w:sz="18" w:space="0" w:color="auto"/>
            </w:tcBorders>
            <w:vAlign w:val="center"/>
          </w:tcPr>
          <w:p w14:paraId="7755014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-0.05 (-0.08, -0.0</w:t>
            </w:r>
            <w:r>
              <w:rPr>
                <w:rFonts w:asciiTheme="majorBidi" w:hAnsiTheme="majorBidi" w:cstheme="majorBidi"/>
              </w:rPr>
              <w:t>2</w:t>
            </w:r>
            <w:r w:rsidRPr="008F2447">
              <w:rPr>
                <w:rFonts w:asciiTheme="majorBidi" w:hAnsiTheme="majorBidi" w:cstheme="majorBidi"/>
              </w:rPr>
              <w:t>)*^</w:t>
            </w:r>
          </w:p>
        </w:tc>
        <w:tc>
          <w:tcPr>
            <w:tcW w:w="1550" w:type="dxa"/>
            <w:tcBorders>
              <w:bottom w:val="single" w:sz="18" w:space="0" w:color="auto"/>
              <w:right w:val="single" w:sz="18" w:space="0" w:color="auto"/>
            </w:tcBorders>
            <w:vAlign w:val="center"/>
          </w:tcPr>
          <w:p w14:paraId="131E09F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-0.01 (-0.0</w:t>
            </w:r>
            <w:r>
              <w:rPr>
                <w:rFonts w:asciiTheme="majorBidi" w:hAnsiTheme="majorBidi" w:cstheme="majorBidi"/>
              </w:rPr>
              <w:t>5</w:t>
            </w:r>
            <w:r w:rsidRPr="008F2447">
              <w:rPr>
                <w:rFonts w:asciiTheme="majorBidi" w:hAnsiTheme="majorBidi" w:cstheme="majorBidi"/>
              </w:rPr>
              <w:t>, 0.0</w:t>
            </w:r>
            <w:r>
              <w:rPr>
                <w:rFonts w:asciiTheme="majorBidi" w:hAnsiTheme="majorBidi" w:cstheme="majorBidi"/>
              </w:rPr>
              <w:t>2</w:t>
            </w:r>
            <w:r w:rsidRPr="008F2447">
              <w:rPr>
                <w:rFonts w:asciiTheme="majorBidi" w:hAnsiTheme="majorBidi" w:cstheme="majorBidi"/>
              </w:rPr>
              <w:t>)</w:t>
            </w:r>
          </w:p>
        </w:tc>
        <w:tc>
          <w:tcPr>
            <w:tcW w:w="1550" w:type="dxa"/>
            <w:tcBorders>
              <w:left w:val="single" w:sz="18" w:space="0" w:color="auto"/>
              <w:bottom w:val="single" w:sz="18" w:space="0" w:color="auto"/>
            </w:tcBorders>
            <w:vAlign w:val="center"/>
          </w:tcPr>
          <w:p w14:paraId="0270E9C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40C52EB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0.03 (0.01, 0.06)*</w:t>
            </w:r>
          </w:p>
        </w:tc>
        <w:tc>
          <w:tcPr>
            <w:tcW w:w="1550" w:type="dxa"/>
            <w:tcBorders>
              <w:bottom w:val="single" w:sz="18" w:space="0" w:color="auto"/>
            </w:tcBorders>
            <w:vAlign w:val="center"/>
          </w:tcPr>
          <w:p w14:paraId="679EF26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2</w:t>
            </w:r>
            <w:r w:rsidRPr="008F2447">
              <w:rPr>
                <w:rFonts w:asciiTheme="majorBidi" w:hAnsiTheme="majorBidi" w:cstheme="majorBidi"/>
              </w:rPr>
              <w:t xml:space="preserve"> (-0.05, 0.01)^</w:t>
            </w:r>
          </w:p>
        </w:tc>
        <w:tc>
          <w:tcPr>
            <w:tcW w:w="1550" w:type="dxa"/>
            <w:tcBorders>
              <w:bottom w:val="single" w:sz="18" w:space="0" w:color="auto"/>
              <w:right w:val="nil"/>
            </w:tcBorders>
            <w:vAlign w:val="center"/>
          </w:tcPr>
          <w:p w14:paraId="57C595C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-0.01 (-0.05, 0.02)^</w:t>
            </w:r>
          </w:p>
        </w:tc>
      </w:tr>
      <w:tr w:rsidR="001E0057" w:rsidRPr="008F2447" w14:paraId="27E341AD" w14:textId="77777777" w:rsidTr="003011AA">
        <w:tc>
          <w:tcPr>
            <w:tcW w:w="13950" w:type="dxa"/>
            <w:gridSpan w:val="9"/>
            <w:tcBorders>
              <w:top w:val="single" w:sz="18" w:space="0" w:color="auto"/>
              <w:left w:val="nil"/>
              <w:bottom w:val="single" w:sz="18" w:space="0" w:color="auto"/>
              <w:right w:val="nil"/>
            </w:tcBorders>
            <w:shd w:val="clear" w:color="000000" w:fill="BFBFBF"/>
            <w:vAlign w:val="center"/>
          </w:tcPr>
          <w:p w14:paraId="265F0F86" w14:textId="77777777" w:rsidR="001E0057" w:rsidRPr="008F2447" w:rsidRDefault="001E0057" w:rsidP="003011AA">
            <w:pPr>
              <w:spacing w:line="480" w:lineRule="auto"/>
              <w:jc w:val="center"/>
              <w:rPr>
                <w:rFonts w:asciiTheme="majorBidi" w:hAnsiTheme="majorBidi" w:cstheme="majorBidi"/>
                <w:b/>
                <w:bCs/>
                <w:i/>
                <w:iCs/>
              </w:rPr>
            </w:pPr>
            <w:r w:rsidRPr="008F2447">
              <w:rPr>
                <w:rFonts w:asciiTheme="majorBidi" w:hAnsiTheme="majorBidi" w:cstheme="majorBidi"/>
                <w:b/>
                <w:bCs/>
                <w:i/>
                <w:iCs/>
              </w:rPr>
              <w:t>Females</w:t>
            </w:r>
          </w:p>
        </w:tc>
      </w:tr>
      <w:tr w:rsidR="001E0057" w:rsidRPr="008F2447" w14:paraId="64ADCE4B" w14:textId="77777777" w:rsidTr="003011AA">
        <w:tc>
          <w:tcPr>
            <w:tcW w:w="1550" w:type="dxa"/>
            <w:tcBorders>
              <w:top w:val="single" w:sz="18" w:space="0" w:color="auto"/>
              <w:left w:val="nil"/>
              <w:bottom w:val="single" w:sz="18" w:space="0" w:color="auto"/>
            </w:tcBorders>
            <w:shd w:val="clear" w:color="000000" w:fill="BFBFBF"/>
            <w:vAlign w:val="center"/>
          </w:tcPr>
          <w:p w14:paraId="545B53F3" w14:textId="77777777" w:rsidR="001E0057" w:rsidRPr="008F2447" w:rsidRDefault="001E0057" w:rsidP="003011AA">
            <w:pPr>
              <w:spacing w:line="480" w:lineRule="auto"/>
              <w:jc w:val="center"/>
              <w:rPr>
                <w:rFonts w:asciiTheme="majorBidi" w:hAnsiTheme="majorBidi" w:cstheme="majorBidi"/>
              </w:rPr>
            </w:pPr>
          </w:p>
        </w:tc>
        <w:tc>
          <w:tcPr>
            <w:tcW w:w="1550" w:type="dxa"/>
            <w:tcBorders>
              <w:top w:val="single" w:sz="18" w:space="0" w:color="auto"/>
              <w:bottom w:val="single" w:sz="18" w:space="0" w:color="auto"/>
            </w:tcBorders>
            <w:shd w:val="clear" w:color="000000" w:fill="BFBFBF"/>
            <w:vAlign w:val="center"/>
          </w:tcPr>
          <w:p w14:paraId="4EB083C4"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non-obese N=215</w:t>
            </w:r>
          </w:p>
        </w:tc>
        <w:tc>
          <w:tcPr>
            <w:tcW w:w="1550" w:type="dxa"/>
            <w:tcBorders>
              <w:top w:val="single" w:sz="18" w:space="0" w:color="auto"/>
              <w:bottom w:val="single" w:sz="18" w:space="0" w:color="auto"/>
            </w:tcBorders>
            <w:shd w:val="clear" w:color="000000" w:fill="BFBFBF"/>
            <w:vAlign w:val="center"/>
          </w:tcPr>
          <w:p w14:paraId="64BBE505"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174DE37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N=143</w:t>
            </w:r>
          </w:p>
        </w:tc>
        <w:tc>
          <w:tcPr>
            <w:tcW w:w="1550" w:type="dxa"/>
            <w:tcBorders>
              <w:top w:val="single" w:sz="18" w:space="0" w:color="auto"/>
              <w:bottom w:val="single" w:sz="18" w:space="0" w:color="auto"/>
            </w:tcBorders>
            <w:shd w:val="clear" w:color="000000" w:fill="BFBFBF"/>
            <w:vAlign w:val="center"/>
          </w:tcPr>
          <w:p w14:paraId="221BD5E6"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non-obese N=114</w:t>
            </w:r>
          </w:p>
        </w:tc>
        <w:tc>
          <w:tcPr>
            <w:tcW w:w="1550" w:type="dxa"/>
            <w:tcBorders>
              <w:top w:val="single" w:sz="18" w:space="0" w:color="auto"/>
              <w:bottom w:val="single" w:sz="18" w:space="0" w:color="auto"/>
              <w:right w:val="single" w:sz="18" w:space="0" w:color="auto"/>
            </w:tcBorders>
            <w:shd w:val="clear" w:color="000000" w:fill="BFBFBF"/>
            <w:vAlign w:val="center"/>
          </w:tcPr>
          <w:p w14:paraId="20E99C98" w14:textId="77777777" w:rsidR="001E005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3D2923F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N=57</w:t>
            </w:r>
          </w:p>
        </w:tc>
        <w:tc>
          <w:tcPr>
            <w:tcW w:w="1550" w:type="dxa"/>
            <w:tcBorders>
              <w:top w:val="single" w:sz="18" w:space="0" w:color="auto"/>
              <w:left w:val="single" w:sz="18" w:space="0" w:color="auto"/>
              <w:bottom w:val="single" w:sz="18" w:space="0" w:color="auto"/>
            </w:tcBorders>
            <w:shd w:val="clear" w:color="000000" w:fill="BFBFBF"/>
            <w:vAlign w:val="center"/>
          </w:tcPr>
          <w:p w14:paraId="6E56D0FD"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non-obese N=202</w:t>
            </w:r>
          </w:p>
        </w:tc>
        <w:tc>
          <w:tcPr>
            <w:tcW w:w="1550" w:type="dxa"/>
            <w:tcBorders>
              <w:top w:val="single" w:sz="18" w:space="0" w:color="auto"/>
              <w:bottom w:val="single" w:sz="18" w:space="0" w:color="auto"/>
            </w:tcBorders>
            <w:shd w:val="clear" w:color="000000" w:fill="BFBFBF"/>
            <w:vAlign w:val="center"/>
          </w:tcPr>
          <w:p w14:paraId="139C749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7430C5D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N=113</w:t>
            </w:r>
          </w:p>
        </w:tc>
        <w:tc>
          <w:tcPr>
            <w:tcW w:w="1550" w:type="dxa"/>
            <w:tcBorders>
              <w:top w:val="single" w:sz="18" w:space="0" w:color="auto"/>
              <w:bottom w:val="single" w:sz="18" w:space="0" w:color="auto"/>
            </w:tcBorders>
            <w:shd w:val="clear" w:color="000000" w:fill="BFBFBF"/>
            <w:vAlign w:val="center"/>
          </w:tcPr>
          <w:p w14:paraId="0E231A9C"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non-obese N=112</w:t>
            </w:r>
          </w:p>
        </w:tc>
        <w:tc>
          <w:tcPr>
            <w:tcW w:w="1550" w:type="dxa"/>
            <w:tcBorders>
              <w:top w:val="single" w:sz="18" w:space="0" w:color="auto"/>
              <w:bottom w:val="single" w:sz="18" w:space="0" w:color="auto"/>
              <w:right w:val="nil"/>
            </w:tcBorders>
            <w:shd w:val="clear" w:color="000000" w:fill="BFBFBF"/>
            <w:vAlign w:val="center"/>
          </w:tcPr>
          <w:p w14:paraId="73C0810D"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3B23BA4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N=79</w:t>
            </w:r>
          </w:p>
        </w:tc>
      </w:tr>
      <w:tr w:rsidR="001E0057" w:rsidRPr="008F2447" w14:paraId="41D55A12" w14:textId="77777777" w:rsidTr="003011AA">
        <w:tc>
          <w:tcPr>
            <w:tcW w:w="1550" w:type="dxa"/>
            <w:tcBorders>
              <w:top w:val="single" w:sz="18" w:space="0" w:color="auto"/>
              <w:left w:val="nil"/>
            </w:tcBorders>
            <w:vAlign w:val="center"/>
          </w:tcPr>
          <w:p w14:paraId="7ACFFC4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Hip BMD</w:t>
            </w:r>
          </w:p>
        </w:tc>
        <w:tc>
          <w:tcPr>
            <w:tcW w:w="1550" w:type="dxa"/>
            <w:tcBorders>
              <w:top w:val="single" w:sz="18" w:space="0" w:color="auto"/>
            </w:tcBorders>
            <w:vAlign w:val="center"/>
          </w:tcPr>
          <w:p w14:paraId="180EBC6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085EE90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0.1</w:t>
            </w:r>
            <w:r>
              <w:rPr>
                <w:rFonts w:asciiTheme="majorBidi" w:hAnsiTheme="majorBidi" w:cstheme="majorBidi"/>
              </w:rPr>
              <w:t>4</w:t>
            </w:r>
            <w:r w:rsidRPr="008F2447">
              <w:rPr>
                <w:rFonts w:asciiTheme="majorBidi" w:hAnsiTheme="majorBidi" w:cstheme="majorBidi"/>
              </w:rPr>
              <w:t xml:space="preserve"> (0.1</w:t>
            </w:r>
            <w:r>
              <w:rPr>
                <w:rFonts w:asciiTheme="majorBidi" w:hAnsiTheme="majorBidi" w:cstheme="majorBidi"/>
              </w:rPr>
              <w:t>1</w:t>
            </w:r>
            <w:r w:rsidRPr="008F2447">
              <w:rPr>
                <w:rFonts w:asciiTheme="majorBidi" w:hAnsiTheme="majorBidi" w:cstheme="majorBidi"/>
              </w:rPr>
              <w:t>, 0.1</w:t>
            </w:r>
            <w:r>
              <w:rPr>
                <w:rFonts w:asciiTheme="majorBidi" w:hAnsiTheme="majorBidi" w:cstheme="majorBidi"/>
              </w:rPr>
              <w:t>7</w:t>
            </w:r>
            <w:r w:rsidRPr="008F2447">
              <w:rPr>
                <w:rFonts w:asciiTheme="majorBidi" w:hAnsiTheme="majorBidi" w:cstheme="majorBidi"/>
              </w:rPr>
              <w:t>)*</w:t>
            </w:r>
          </w:p>
        </w:tc>
        <w:tc>
          <w:tcPr>
            <w:tcW w:w="1550" w:type="dxa"/>
            <w:tcBorders>
              <w:top w:val="single" w:sz="18" w:space="0" w:color="auto"/>
            </w:tcBorders>
            <w:vAlign w:val="center"/>
          </w:tcPr>
          <w:p w14:paraId="3C1E861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-0.01 (-0.04, 0.01)^</w:t>
            </w:r>
          </w:p>
        </w:tc>
        <w:tc>
          <w:tcPr>
            <w:tcW w:w="1550" w:type="dxa"/>
            <w:tcBorders>
              <w:top w:val="single" w:sz="18" w:space="0" w:color="auto"/>
              <w:right w:val="single" w:sz="18" w:space="0" w:color="auto"/>
            </w:tcBorders>
            <w:vAlign w:val="center"/>
          </w:tcPr>
          <w:p w14:paraId="7A09E97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0.05 (0.02, 0.09)*^</w:t>
            </w:r>
          </w:p>
        </w:tc>
        <w:tc>
          <w:tcPr>
            <w:tcW w:w="1550" w:type="dxa"/>
            <w:tcBorders>
              <w:top w:val="single" w:sz="18" w:space="0" w:color="auto"/>
              <w:left w:val="single" w:sz="18" w:space="0" w:color="auto"/>
            </w:tcBorders>
            <w:vAlign w:val="center"/>
          </w:tcPr>
          <w:p w14:paraId="694DF89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6F46464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0.1</w:t>
            </w:r>
            <w:r>
              <w:rPr>
                <w:rFonts w:asciiTheme="majorBidi" w:hAnsiTheme="majorBidi" w:cstheme="majorBidi"/>
              </w:rPr>
              <w:t>2</w:t>
            </w:r>
            <w:r w:rsidRPr="008F2447">
              <w:rPr>
                <w:rFonts w:asciiTheme="majorBidi" w:hAnsiTheme="majorBidi" w:cstheme="majorBidi"/>
              </w:rPr>
              <w:t xml:space="preserve"> (0.0</w:t>
            </w:r>
            <w:r>
              <w:rPr>
                <w:rFonts w:asciiTheme="majorBidi" w:hAnsiTheme="majorBidi" w:cstheme="majorBidi"/>
              </w:rPr>
              <w:t>9</w:t>
            </w:r>
            <w:r w:rsidRPr="008F2447">
              <w:rPr>
                <w:rFonts w:asciiTheme="majorBidi" w:hAnsiTheme="majorBidi" w:cstheme="majorBidi"/>
              </w:rPr>
              <w:t>, 0.1</w:t>
            </w:r>
            <w:r>
              <w:rPr>
                <w:rFonts w:asciiTheme="majorBidi" w:hAnsiTheme="majorBidi" w:cstheme="majorBidi"/>
              </w:rPr>
              <w:t>5</w:t>
            </w:r>
            <w:r w:rsidRPr="008F2447">
              <w:rPr>
                <w:rFonts w:asciiTheme="majorBidi" w:hAnsiTheme="majorBidi" w:cstheme="majorBidi"/>
              </w:rPr>
              <w:t>)*</w:t>
            </w:r>
          </w:p>
        </w:tc>
        <w:tc>
          <w:tcPr>
            <w:tcW w:w="1550" w:type="dxa"/>
            <w:tcBorders>
              <w:top w:val="single" w:sz="18" w:space="0" w:color="auto"/>
            </w:tcBorders>
            <w:vAlign w:val="center"/>
          </w:tcPr>
          <w:p w14:paraId="76028C3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-0.01 (-0.04, 0.02)^</w:t>
            </w:r>
          </w:p>
        </w:tc>
        <w:tc>
          <w:tcPr>
            <w:tcW w:w="1550" w:type="dxa"/>
            <w:tcBorders>
              <w:top w:val="single" w:sz="18" w:space="0" w:color="auto"/>
              <w:right w:val="nil"/>
            </w:tcBorders>
            <w:vAlign w:val="center"/>
          </w:tcPr>
          <w:p w14:paraId="5ACB3C4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0.11 (0.07, 0.1</w:t>
            </w:r>
            <w:r>
              <w:rPr>
                <w:rFonts w:asciiTheme="majorBidi" w:hAnsiTheme="majorBidi" w:cstheme="majorBidi"/>
              </w:rPr>
              <w:t>5</w:t>
            </w:r>
            <w:r w:rsidRPr="008F2447">
              <w:rPr>
                <w:rFonts w:asciiTheme="majorBidi" w:hAnsiTheme="majorBidi" w:cstheme="majorBidi"/>
              </w:rPr>
              <w:t>)*</w:t>
            </w:r>
          </w:p>
        </w:tc>
      </w:tr>
      <w:tr w:rsidR="001E0057" w:rsidRPr="008F2447" w14:paraId="2A166E9D" w14:textId="77777777" w:rsidTr="003011AA">
        <w:tc>
          <w:tcPr>
            <w:tcW w:w="1550" w:type="dxa"/>
            <w:tcBorders>
              <w:left w:val="nil"/>
              <w:bottom w:val="single" w:sz="4" w:space="0" w:color="auto"/>
            </w:tcBorders>
            <w:vAlign w:val="center"/>
          </w:tcPr>
          <w:p w14:paraId="30ED474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BMD</w:t>
            </w:r>
          </w:p>
        </w:tc>
        <w:tc>
          <w:tcPr>
            <w:tcW w:w="1550" w:type="dxa"/>
            <w:tcBorders>
              <w:bottom w:val="single" w:sz="4" w:space="0" w:color="auto"/>
            </w:tcBorders>
            <w:vAlign w:val="center"/>
          </w:tcPr>
          <w:p w14:paraId="19D4F18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4" w:space="0" w:color="auto"/>
            </w:tcBorders>
            <w:vAlign w:val="center"/>
          </w:tcPr>
          <w:p w14:paraId="19425D0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9</w:t>
            </w:r>
            <w:r w:rsidRPr="008F2447">
              <w:rPr>
                <w:rFonts w:asciiTheme="majorBidi" w:hAnsiTheme="majorBidi" w:cstheme="majorBidi"/>
              </w:rPr>
              <w:t xml:space="preserve"> (0.05, 0.1</w:t>
            </w:r>
            <w:r>
              <w:rPr>
                <w:rFonts w:asciiTheme="majorBidi" w:hAnsiTheme="majorBidi" w:cstheme="majorBidi"/>
              </w:rPr>
              <w:t>2</w:t>
            </w:r>
            <w:r w:rsidRPr="008F2447">
              <w:rPr>
                <w:rFonts w:asciiTheme="majorBidi" w:hAnsiTheme="majorBidi" w:cstheme="majorBidi"/>
              </w:rPr>
              <w:t>)*</w:t>
            </w:r>
          </w:p>
        </w:tc>
        <w:tc>
          <w:tcPr>
            <w:tcW w:w="1550" w:type="dxa"/>
            <w:tcBorders>
              <w:bottom w:val="single" w:sz="4" w:space="0" w:color="auto"/>
            </w:tcBorders>
            <w:vAlign w:val="center"/>
          </w:tcPr>
          <w:p w14:paraId="21F783A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-0.01 (-0.04, 0.03)^</w:t>
            </w:r>
          </w:p>
        </w:tc>
        <w:tc>
          <w:tcPr>
            <w:tcW w:w="1550" w:type="dxa"/>
            <w:tcBorders>
              <w:bottom w:val="single" w:sz="4" w:space="0" w:color="auto"/>
              <w:right w:val="single" w:sz="18" w:space="0" w:color="auto"/>
            </w:tcBorders>
            <w:vAlign w:val="center"/>
          </w:tcPr>
          <w:p w14:paraId="2F815FC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0.06 (0.01, 0.10)*</w:t>
            </w:r>
          </w:p>
        </w:tc>
        <w:tc>
          <w:tcPr>
            <w:tcW w:w="1550" w:type="dxa"/>
            <w:tcBorders>
              <w:left w:val="single" w:sz="18" w:space="0" w:color="auto"/>
              <w:bottom w:val="single" w:sz="4" w:space="0" w:color="auto"/>
            </w:tcBorders>
            <w:vAlign w:val="center"/>
          </w:tcPr>
          <w:p w14:paraId="11450AA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4" w:space="0" w:color="auto"/>
            </w:tcBorders>
            <w:vAlign w:val="center"/>
          </w:tcPr>
          <w:p w14:paraId="20B7421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0.08 (0.0</w:t>
            </w:r>
            <w:r>
              <w:rPr>
                <w:rFonts w:asciiTheme="majorBidi" w:hAnsiTheme="majorBidi" w:cstheme="majorBidi"/>
              </w:rPr>
              <w:t>5</w:t>
            </w:r>
            <w:r w:rsidRPr="008F2447">
              <w:rPr>
                <w:rFonts w:asciiTheme="majorBidi" w:hAnsiTheme="majorBidi" w:cstheme="majorBidi"/>
              </w:rPr>
              <w:t>, 0.1</w:t>
            </w:r>
            <w:r>
              <w:rPr>
                <w:rFonts w:asciiTheme="majorBidi" w:hAnsiTheme="majorBidi" w:cstheme="majorBidi"/>
              </w:rPr>
              <w:t>2</w:t>
            </w:r>
            <w:r w:rsidRPr="008F2447">
              <w:rPr>
                <w:rFonts w:asciiTheme="majorBidi" w:hAnsiTheme="majorBidi" w:cstheme="majorBidi"/>
              </w:rPr>
              <w:t>)*</w:t>
            </w:r>
          </w:p>
        </w:tc>
        <w:tc>
          <w:tcPr>
            <w:tcW w:w="1550" w:type="dxa"/>
            <w:tcBorders>
              <w:bottom w:val="single" w:sz="4" w:space="0" w:color="auto"/>
            </w:tcBorders>
            <w:vAlign w:val="center"/>
          </w:tcPr>
          <w:p w14:paraId="316F9C3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-0.01 (-0.0</w:t>
            </w:r>
            <w:r>
              <w:rPr>
                <w:rFonts w:asciiTheme="majorBidi" w:hAnsiTheme="majorBidi" w:cstheme="majorBidi"/>
              </w:rPr>
              <w:t>5</w:t>
            </w:r>
            <w:r w:rsidRPr="008F2447">
              <w:rPr>
                <w:rFonts w:asciiTheme="majorBidi" w:hAnsiTheme="majorBidi" w:cstheme="majorBidi"/>
              </w:rPr>
              <w:t>, 0.03)^</w:t>
            </w:r>
          </w:p>
        </w:tc>
        <w:tc>
          <w:tcPr>
            <w:tcW w:w="1550" w:type="dxa"/>
            <w:tcBorders>
              <w:bottom w:val="single" w:sz="4" w:space="0" w:color="auto"/>
              <w:right w:val="nil"/>
            </w:tcBorders>
            <w:vAlign w:val="center"/>
          </w:tcPr>
          <w:p w14:paraId="21C8A95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7</w:t>
            </w:r>
            <w:r w:rsidRPr="008F2447">
              <w:rPr>
                <w:rFonts w:asciiTheme="majorBidi" w:hAnsiTheme="majorBidi" w:cstheme="majorBidi"/>
              </w:rPr>
              <w:t xml:space="preserve"> (0.0</w:t>
            </w:r>
            <w:r>
              <w:rPr>
                <w:rFonts w:asciiTheme="majorBidi" w:hAnsiTheme="majorBidi" w:cstheme="majorBidi"/>
              </w:rPr>
              <w:t>3</w:t>
            </w:r>
            <w:r w:rsidRPr="008F2447">
              <w:rPr>
                <w:rFonts w:asciiTheme="majorBidi" w:hAnsiTheme="majorBidi" w:cstheme="majorBidi"/>
              </w:rPr>
              <w:t>, 0.1</w:t>
            </w:r>
            <w:r>
              <w:rPr>
                <w:rFonts w:asciiTheme="majorBidi" w:hAnsiTheme="majorBidi" w:cstheme="majorBidi"/>
              </w:rPr>
              <w:t>1</w:t>
            </w:r>
            <w:r w:rsidRPr="008F2447">
              <w:rPr>
                <w:rFonts w:asciiTheme="majorBidi" w:hAnsiTheme="majorBidi" w:cstheme="majorBidi"/>
              </w:rPr>
              <w:t>)*</w:t>
            </w:r>
          </w:p>
        </w:tc>
      </w:tr>
      <w:tr w:rsidR="001E0057" w:rsidRPr="008F2447" w14:paraId="4AAF78B0" w14:textId="77777777" w:rsidTr="003011AA">
        <w:tc>
          <w:tcPr>
            <w:tcW w:w="1550" w:type="dxa"/>
            <w:tcBorders>
              <w:left w:val="nil"/>
              <w:bottom w:val="single" w:sz="18" w:space="0" w:color="auto"/>
            </w:tcBorders>
            <w:vAlign w:val="center"/>
          </w:tcPr>
          <w:p w14:paraId="399E535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Body BMD</w:t>
            </w:r>
          </w:p>
        </w:tc>
        <w:tc>
          <w:tcPr>
            <w:tcW w:w="1550" w:type="dxa"/>
            <w:tcBorders>
              <w:bottom w:val="single" w:sz="18" w:space="0" w:color="auto"/>
            </w:tcBorders>
            <w:vAlign w:val="center"/>
          </w:tcPr>
          <w:p w14:paraId="09F0872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6B7CB1E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6</w:t>
            </w:r>
            <w:r w:rsidRPr="008F2447">
              <w:rPr>
                <w:rFonts w:asciiTheme="majorBidi" w:hAnsiTheme="majorBidi" w:cstheme="majorBidi"/>
              </w:rPr>
              <w:t xml:space="preserve"> (0.03, 0.08)*</w:t>
            </w:r>
          </w:p>
        </w:tc>
        <w:tc>
          <w:tcPr>
            <w:tcW w:w="1550" w:type="dxa"/>
            <w:tcBorders>
              <w:bottom w:val="single" w:sz="18" w:space="0" w:color="auto"/>
            </w:tcBorders>
            <w:vAlign w:val="center"/>
          </w:tcPr>
          <w:p w14:paraId="29C1347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2</w:t>
            </w:r>
            <w:r w:rsidRPr="008F2447">
              <w:rPr>
                <w:rFonts w:asciiTheme="majorBidi" w:hAnsiTheme="majorBidi" w:cstheme="majorBidi"/>
              </w:rPr>
              <w:t xml:space="preserve"> (-0.04, 0.01)^</w:t>
            </w:r>
          </w:p>
        </w:tc>
        <w:tc>
          <w:tcPr>
            <w:tcW w:w="1550" w:type="dxa"/>
            <w:tcBorders>
              <w:bottom w:val="single" w:sz="18" w:space="0" w:color="auto"/>
              <w:right w:val="single" w:sz="18" w:space="0" w:color="auto"/>
            </w:tcBorders>
            <w:vAlign w:val="center"/>
          </w:tcPr>
          <w:p w14:paraId="7405D14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3</w:t>
            </w:r>
            <w:r w:rsidRPr="008F2447">
              <w:rPr>
                <w:rFonts w:asciiTheme="majorBidi" w:hAnsiTheme="majorBidi" w:cstheme="majorBidi"/>
              </w:rPr>
              <w:t xml:space="preserve"> (-0.01, 0.0</w:t>
            </w:r>
            <w:r>
              <w:rPr>
                <w:rFonts w:asciiTheme="majorBidi" w:hAnsiTheme="majorBidi" w:cstheme="majorBidi"/>
              </w:rPr>
              <w:t>6</w:t>
            </w:r>
            <w:r w:rsidRPr="008F2447">
              <w:rPr>
                <w:rFonts w:asciiTheme="majorBidi" w:hAnsiTheme="majorBidi" w:cstheme="majorBidi"/>
              </w:rPr>
              <w:t>)</w:t>
            </w:r>
          </w:p>
        </w:tc>
        <w:tc>
          <w:tcPr>
            <w:tcW w:w="1550" w:type="dxa"/>
            <w:tcBorders>
              <w:left w:val="single" w:sz="18" w:space="0" w:color="auto"/>
              <w:bottom w:val="single" w:sz="18" w:space="0" w:color="auto"/>
            </w:tcBorders>
            <w:vAlign w:val="center"/>
          </w:tcPr>
          <w:p w14:paraId="1E3B79A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6AB6A6C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0.06 (0.03, 0.0</w:t>
            </w:r>
            <w:r>
              <w:rPr>
                <w:rFonts w:asciiTheme="majorBidi" w:hAnsiTheme="majorBidi" w:cstheme="majorBidi"/>
              </w:rPr>
              <w:t>9</w:t>
            </w:r>
            <w:r w:rsidRPr="008F2447">
              <w:rPr>
                <w:rFonts w:asciiTheme="majorBidi" w:hAnsiTheme="majorBidi" w:cstheme="majorBidi"/>
              </w:rPr>
              <w:t>)*</w:t>
            </w:r>
          </w:p>
        </w:tc>
        <w:tc>
          <w:tcPr>
            <w:tcW w:w="1550" w:type="dxa"/>
            <w:tcBorders>
              <w:bottom w:val="single" w:sz="18" w:space="0" w:color="auto"/>
            </w:tcBorders>
            <w:vAlign w:val="center"/>
          </w:tcPr>
          <w:p w14:paraId="7C27FE98"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w:t>
            </w:r>
            <w:r w:rsidRPr="008F2447">
              <w:rPr>
                <w:rFonts w:asciiTheme="majorBidi" w:hAnsiTheme="majorBidi" w:cstheme="majorBidi"/>
              </w:rPr>
              <w:t>0.01 (-0.0</w:t>
            </w:r>
            <w:r>
              <w:rPr>
                <w:rFonts w:asciiTheme="majorBidi" w:hAnsiTheme="majorBidi" w:cstheme="majorBidi"/>
              </w:rPr>
              <w:t>3</w:t>
            </w:r>
            <w:r w:rsidRPr="008F2447">
              <w:rPr>
                <w:rFonts w:asciiTheme="majorBidi" w:hAnsiTheme="majorBidi" w:cstheme="majorBidi"/>
              </w:rPr>
              <w:t>, 0.03)^</w:t>
            </w:r>
          </w:p>
        </w:tc>
        <w:tc>
          <w:tcPr>
            <w:tcW w:w="1550" w:type="dxa"/>
            <w:tcBorders>
              <w:bottom w:val="single" w:sz="18" w:space="0" w:color="auto"/>
              <w:right w:val="nil"/>
            </w:tcBorders>
            <w:vAlign w:val="center"/>
          </w:tcPr>
          <w:p w14:paraId="255F0E2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5</w:t>
            </w:r>
            <w:r w:rsidRPr="008F2447">
              <w:rPr>
                <w:rFonts w:asciiTheme="majorBidi" w:hAnsiTheme="majorBidi" w:cstheme="majorBidi"/>
              </w:rPr>
              <w:t xml:space="preserve"> (0.0</w:t>
            </w:r>
            <w:r>
              <w:rPr>
                <w:rFonts w:asciiTheme="majorBidi" w:hAnsiTheme="majorBidi" w:cstheme="majorBidi"/>
              </w:rPr>
              <w:t>2</w:t>
            </w:r>
            <w:r w:rsidRPr="008F2447">
              <w:rPr>
                <w:rFonts w:asciiTheme="majorBidi" w:hAnsiTheme="majorBidi" w:cstheme="majorBidi"/>
              </w:rPr>
              <w:t>, 0.0</w:t>
            </w:r>
            <w:r>
              <w:rPr>
                <w:rFonts w:asciiTheme="majorBidi" w:hAnsiTheme="majorBidi" w:cstheme="majorBidi"/>
              </w:rPr>
              <w:t>8</w:t>
            </w:r>
            <w:r w:rsidRPr="008F2447">
              <w:rPr>
                <w:rFonts w:asciiTheme="majorBidi" w:hAnsiTheme="majorBidi" w:cstheme="majorBidi"/>
              </w:rPr>
              <w:t>)*</w:t>
            </w:r>
          </w:p>
        </w:tc>
      </w:tr>
    </w:tbl>
    <w:p w14:paraId="48B5D573"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*Significantly different to non-</w:t>
      </w:r>
      <w:proofErr w:type="spellStart"/>
      <w:r w:rsidRPr="008F2447">
        <w:rPr>
          <w:rFonts w:asciiTheme="majorBidi" w:hAnsiTheme="majorBidi" w:cstheme="majorBidi"/>
        </w:rPr>
        <w:t>sarcopenic</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w:t>
      </w:r>
    </w:p>
    <w:p w14:paraId="02CA6AA2"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^Significantly different to non-</w:t>
      </w:r>
      <w:proofErr w:type="spellStart"/>
      <w:r w:rsidRPr="008F2447">
        <w:rPr>
          <w:rFonts w:asciiTheme="majorBidi" w:hAnsiTheme="majorBidi" w:cstheme="majorBidi"/>
        </w:rPr>
        <w:t>sarcopenic</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w:t>
      </w:r>
    </w:p>
    <w:p w14:paraId="2A6971C4" w14:textId="77777777" w:rsidR="001E0057" w:rsidRPr="003D2F8C" w:rsidRDefault="001E0057" w:rsidP="001E0057">
      <w:pPr>
        <w:spacing w:line="480" w:lineRule="auto"/>
        <w:rPr>
          <w:rFonts w:asciiTheme="majorBidi" w:hAnsiTheme="majorBidi" w:cstheme="majorBidi"/>
        </w:rPr>
      </w:pPr>
      <w:r w:rsidRPr="008F2447">
        <w:rPr>
          <w:rFonts w:asciiTheme="majorBidi" w:hAnsiTheme="majorBidi" w:cstheme="majorBidi"/>
        </w:rPr>
        <w:t>Adjusted for baseline age, alcohol intake,</w:t>
      </w:r>
      <w:r>
        <w:rPr>
          <w:rFonts w:asciiTheme="majorBidi" w:hAnsiTheme="majorBidi" w:cstheme="majorBidi"/>
        </w:rPr>
        <w:t xml:space="preserve"> </w:t>
      </w:r>
      <w:r w:rsidRPr="008F2447">
        <w:rPr>
          <w:rFonts w:asciiTheme="majorBidi" w:hAnsiTheme="majorBidi" w:cstheme="majorBidi"/>
        </w:rPr>
        <w:t>smoking</w:t>
      </w:r>
      <w:r>
        <w:rPr>
          <w:rFonts w:asciiTheme="majorBidi" w:hAnsiTheme="majorBidi" w:cstheme="majorBidi"/>
        </w:rPr>
        <w:t xml:space="preserve"> status</w:t>
      </w:r>
      <w:r w:rsidRPr="008F2447">
        <w:rPr>
          <w:rFonts w:asciiTheme="majorBidi" w:hAnsiTheme="majorBidi" w:cstheme="majorBidi"/>
        </w:rPr>
        <w:t>,</w:t>
      </w:r>
      <w:r>
        <w:rPr>
          <w:rFonts w:asciiTheme="majorBidi" w:hAnsiTheme="majorBidi" w:cstheme="majorBidi"/>
        </w:rPr>
        <w:t xml:space="preserve"> </w:t>
      </w:r>
      <w:r w:rsidRPr="008F2447">
        <w:rPr>
          <w:rFonts w:asciiTheme="majorBidi" w:hAnsiTheme="majorBidi" w:cstheme="majorBidi"/>
        </w:rPr>
        <w:t xml:space="preserve">physical activity (steps/day), </w:t>
      </w:r>
      <w:r>
        <w:rPr>
          <w:rFonts w:asciiTheme="majorBidi" w:hAnsiTheme="majorBidi" w:cstheme="majorBidi"/>
        </w:rPr>
        <w:t xml:space="preserve">falls risk score </w:t>
      </w:r>
      <w:r w:rsidRPr="008F2447">
        <w:rPr>
          <w:rFonts w:asciiTheme="majorBidi" w:hAnsiTheme="majorBidi" w:cstheme="majorBidi"/>
        </w:rPr>
        <w:t>and self-reported prevalent pain</w:t>
      </w:r>
      <w:r>
        <w:rPr>
          <w:rFonts w:asciiTheme="majorBidi" w:hAnsiTheme="majorBidi" w:cstheme="majorBidi"/>
        </w:rPr>
        <w:t xml:space="preserve"> and number of co-morbidities.</w:t>
      </w:r>
    </w:p>
    <w:p w14:paraId="3D9BEB07" w14:textId="77777777" w:rsidR="001E0057" w:rsidRDefault="001E0057">
      <w:pPr>
        <w:rPr>
          <w:rFonts w:ascii="Times New Roman" w:hAnsi="Times New Roman"/>
          <w:b/>
          <w:bCs/>
        </w:rPr>
        <w:sectPr w:rsidR="001E0057" w:rsidSect="00F4381F">
          <w:pgSz w:w="16838" w:h="11906" w:orient="landscape"/>
          <w:pgMar w:top="1440" w:right="1440" w:bottom="1440" w:left="1440" w:header="708" w:footer="708" w:gutter="0"/>
          <w:cols w:space="708"/>
          <w:docGrid w:linePitch="360"/>
        </w:sectPr>
      </w:pPr>
    </w:p>
    <w:p w14:paraId="2B3E6B48" w14:textId="77777777" w:rsidR="001E0057" w:rsidRPr="008F2447" w:rsidRDefault="001E0057" w:rsidP="001E0057">
      <w:pPr>
        <w:pStyle w:val="Caption"/>
        <w:spacing w:line="480" w:lineRule="auto"/>
        <w:rPr>
          <w:rFonts w:asciiTheme="majorBidi" w:hAnsiTheme="majorBidi" w:cstheme="majorBidi"/>
          <w:color w:val="auto"/>
          <w:sz w:val="24"/>
          <w:szCs w:val="24"/>
        </w:rPr>
      </w:pPr>
      <w:r>
        <w:rPr>
          <w:rFonts w:asciiTheme="majorBidi" w:hAnsiTheme="majorBidi" w:cstheme="majorBidi"/>
          <w:color w:val="auto"/>
          <w:sz w:val="24"/>
          <w:szCs w:val="24"/>
        </w:rPr>
        <w:lastRenderedPageBreak/>
        <w:t>Table 3</w:t>
      </w:r>
      <w:r w:rsidRPr="008F2447">
        <w:rPr>
          <w:rFonts w:asciiTheme="majorBidi" w:hAnsiTheme="majorBidi" w:cstheme="majorBidi"/>
          <w:color w:val="auto"/>
          <w:sz w:val="24"/>
          <w:szCs w:val="24"/>
        </w:rPr>
        <w:t>. Regression coefficients expressing baseline differences in bone mineral density (g/cm</w:t>
      </w:r>
      <w:r w:rsidRPr="008F2447">
        <w:rPr>
          <w:rFonts w:asciiTheme="majorBidi" w:hAnsiTheme="majorBidi" w:cstheme="majorBidi"/>
          <w:color w:val="auto"/>
          <w:sz w:val="24"/>
          <w:szCs w:val="24"/>
          <w:vertAlign w:val="superscript"/>
        </w:rPr>
        <w:t>2</w:t>
      </w:r>
      <w:r w:rsidRPr="008F2447">
        <w:rPr>
          <w:rFonts w:asciiTheme="majorBidi" w:hAnsiTheme="majorBidi" w:cstheme="majorBidi"/>
          <w:color w:val="auto"/>
          <w:sz w:val="24"/>
          <w:szCs w:val="24"/>
        </w:rPr>
        <w:t xml:space="preserve">) according to </w:t>
      </w:r>
      <w:r>
        <w:rPr>
          <w:rFonts w:asciiTheme="majorBidi" w:hAnsiTheme="majorBidi" w:cstheme="majorBidi"/>
          <w:color w:val="auto"/>
          <w:sz w:val="24"/>
          <w:szCs w:val="24"/>
        </w:rPr>
        <w:t xml:space="preserve">combined </w:t>
      </w:r>
      <w:proofErr w:type="spellStart"/>
      <w:r w:rsidRPr="008F2447">
        <w:rPr>
          <w:rFonts w:asciiTheme="majorBidi" w:hAnsiTheme="majorBidi" w:cstheme="majorBidi"/>
          <w:color w:val="auto"/>
          <w:sz w:val="24"/>
          <w:szCs w:val="24"/>
        </w:rPr>
        <w:t>sarcopenic</w:t>
      </w:r>
      <w:proofErr w:type="spellEnd"/>
      <w:r w:rsidRPr="008F2447">
        <w:rPr>
          <w:rFonts w:asciiTheme="majorBidi" w:hAnsiTheme="majorBidi" w:cstheme="majorBidi"/>
          <w:color w:val="auto"/>
          <w:sz w:val="24"/>
          <w:szCs w:val="24"/>
        </w:rPr>
        <w:t xml:space="preserve"> and </w:t>
      </w:r>
      <w:proofErr w:type="spellStart"/>
      <w:r w:rsidRPr="008F2447">
        <w:rPr>
          <w:rFonts w:asciiTheme="majorBidi" w:hAnsiTheme="majorBidi" w:cstheme="majorBidi"/>
          <w:color w:val="auto"/>
          <w:sz w:val="24"/>
          <w:szCs w:val="24"/>
        </w:rPr>
        <w:t>dynapenic</w:t>
      </w:r>
      <w:proofErr w:type="spellEnd"/>
      <w:r w:rsidRPr="008F2447">
        <w:rPr>
          <w:rFonts w:asciiTheme="majorBidi" w:hAnsiTheme="majorBidi" w:cstheme="majorBidi"/>
          <w:color w:val="auto"/>
          <w:sz w:val="24"/>
          <w:szCs w:val="24"/>
        </w:rPr>
        <w:t xml:space="preserve"> obesity categories</w:t>
      </w:r>
    </w:p>
    <w:tbl>
      <w:tblPr>
        <w:tblStyle w:val="TableGrid"/>
        <w:tblW w:w="0" w:type="auto"/>
        <w:tblLayout w:type="fixed"/>
        <w:tblLook w:val="04A0" w:firstRow="1" w:lastRow="0" w:firstColumn="1" w:lastColumn="0" w:noHBand="0" w:noVBand="1"/>
      </w:tblPr>
      <w:tblGrid>
        <w:gridCol w:w="2771"/>
        <w:gridCol w:w="2772"/>
        <w:gridCol w:w="2771"/>
        <w:gridCol w:w="2772"/>
        <w:gridCol w:w="2772"/>
      </w:tblGrid>
      <w:tr w:rsidR="001E0057" w:rsidRPr="008F2447" w14:paraId="4EEE90FF" w14:textId="77777777" w:rsidTr="003011AA">
        <w:tc>
          <w:tcPr>
            <w:tcW w:w="13858" w:type="dxa"/>
            <w:gridSpan w:val="5"/>
            <w:tcBorders>
              <w:top w:val="single" w:sz="18" w:space="0" w:color="auto"/>
              <w:left w:val="nil"/>
              <w:bottom w:val="single" w:sz="18" w:space="0" w:color="auto"/>
              <w:right w:val="nil"/>
            </w:tcBorders>
            <w:shd w:val="clear" w:color="000000" w:fill="BFBFBF"/>
            <w:vAlign w:val="center"/>
          </w:tcPr>
          <w:p w14:paraId="14A667F3" w14:textId="77777777" w:rsidR="001E0057" w:rsidRPr="002A7AFA" w:rsidRDefault="001E0057" w:rsidP="003011AA">
            <w:pPr>
              <w:spacing w:line="480" w:lineRule="auto"/>
              <w:jc w:val="center"/>
              <w:rPr>
                <w:rFonts w:asciiTheme="majorBidi" w:hAnsiTheme="majorBidi" w:cstheme="majorBidi"/>
                <w:b/>
                <w:bCs/>
                <w:i/>
                <w:iCs/>
              </w:rPr>
            </w:pPr>
            <w:r w:rsidRPr="002A7AFA">
              <w:rPr>
                <w:rFonts w:asciiTheme="majorBidi" w:hAnsiTheme="majorBidi" w:cstheme="majorBidi"/>
                <w:b/>
                <w:bCs/>
                <w:i/>
                <w:iCs/>
              </w:rPr>
              <w:t>Males</w:t>
            </w:r>
          </w:p>
        </w:tc>
      </w:tr>
      <w:tr w:rsidR="001E0057" w:rsidRPr="008F2447" w14:paraId="2C4C4F07" w14:textId="77777777" w:rsidTr="003011AA">
        <w:tc>
          <w:tcPr>
            <w:tcW w:w="2771" w:type="dxa"/>
            <w:tcBorders>
              <w:top w:val="single" w:sz="18" w:space="0" w:color="auto"/>
              <w:left w:val="nil"/>
              <w:bottom w:val="single" w:sz="18" w:space="0" w:color="auto"/>
            </w:tcBorders>
            <w:shd w:val="clear" w:color="000000" w:fill="BFBFBF"/>
            <w:vAlign w:val="center"/>
          </w:tcPr>
          <w:p w14:paraId="313D578F" w14:textId="77777777" w:rsidR="001E0057" w:rsidRPr="008F2447" w:rsidRDefault="001E0057" w:rsidP="003011AA">
            <w:pPr>
              <w:spacing w:line="480" w:lineRule="auto"/>
              <w:jc w:val="center"/>
              <w:rPr>
                <w:rFonts w:asciiTheme="majorBidi" w:hAnsiTheme="majorBidi" w:cstheme="majorBidi"/>
              </w:rPr>
            </w:pPr>
          </w:p>
        </w:tc>
        <w:tc>
          <w:tcPr>
            <w:tcW w:w="2772" w:type="dxa"/>
            <w:tcBorders>
              <w:top w:val="single" w:sz="18" w:space="0" w:color="auto"/>
              <w:bottom w:val="single" w:sz="18" w:space="0" w:color="auto"/>
              <w:right w:val="single" w:sz="4" w:space="0" w:color="auto"/>
            </w:tcBorders>
            <w:shd w:val="clear" w:color="000000" w:fill="BFBFBF"/>
            <w:vAlign w:val="center"/>
          </w:tcPr>
          <w:p w14:paraId="1954E962"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Pr>
                <w:rFonts w:asciiTheme="majorBidi" w:hAnsiTheme="majorBidi" w:cstheme="majorBidi"/>
                <w:lang w:val="it-IT"/>
              </w:rPr>
              <w:t xml:space="preserve"> and non-</w:t>
            </w:r>
            <w:proofErr w:type="spellStart"/>
            <w:r>
              <w:rPr>
                <w:rFonts w:asciiTheme="majorBidi" w:hAnsiTheme="majorBidi" w:cstheme="majorBidi"/>
                <w:lang w:val="it-IT"/>
              </w:rPr>
              <w:t>dynapenic</w:t>
            </w:r>
            <w:proofErr w:type="spellEnd"/>
            <w:r w:rsidRPr="008F2447">
              <w:rPr>
                <w:rFonts w:asciiTheme="majorBidi" w:hAnsiTheme="majorBidi" w:cstheme="majorBidi"/>
                <w:lang w:val="it-IT"/>
              </w:rPr>
              <w:t>, non-obese</w:t>
            </w:r>
          </w:p>
          <w:p w14:paraId="698A25AC"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w:t>
            </w:r>
            <w:r>
              <w:rPr>
                <w:rFonts w:asciiTheme="majorBidi" w:hAnsiTheme="majorBidi" w:cstheme="majorBidi"/>
                <w:lang w:val="it-IT"/>
              </w:rPr>
              <w:t>145</w:t>
            </w:r>
          </w:p>
        </w:tc>
        <w:tc>
          <w:tcPr>
            <w:tcW w:w="2771" w:type="dxa"/>
            <w:tcBorders>
              <w:top w:val="single" w:sz="18" w:space="0" w:color="auto"/>
              <w:left w:val="single" w:sz="4" w:space="0" w:color="auto"/>
              <w:bottom w:val="single" w:sz="18" w:space="0" w:color="auto"/>
            </w:tcBorders>
            <w:shd w:val="clear" w:color="000000" w:fill="BFBFBF"/>
            <w:vAlign w:val="center"/>
          </w:tcPr>
          <w:p w14:paraId="73D425D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Pr>
                <w:rFonts w:asciiTheme="majorBidi" w:hAnsiTheme="majorBidi" w:cstheme="majorBidi"/>
              </w:rPr>
              <w:t xml:space="preserve"> and non-</w:t>
            </w:r>
            <w:proofErr w:type="spellStart"/>
            <w:r>
              <w:rPr>
                <w:rFonts w:asciiTheme="majorBidi" w:hAnsiTheme="majorBidi" w:cstheme="majorBidi"/>
              </w:rPr>
              <w:t>dynapenic</w:t>
            </w:r>
            <w:proofErr w:type="spellEnd"/>
            <w:r w:rsidRPr="008F2447">
              <w:rPr>
                <w:rFonts w:asciiTheme="majorBidi" w:hAnsiTheme="majorBidi" w:cstheme="majorBidi"/>
              </w:rPr>
              <w:t>, obese</w:t>
            </w:r>
          </w:p>
          <w:p w14:paraId="2CBD0B6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88</w:t>
            </w:r>
          </w:p>
        </w:tc>
        <w:tc>
          <w:tcPr>
            <w:tcW w:w="2772" w:type="dxa"/>
            <w:tcBorders>
              <w:top w:val="single" w:sz="18" w:space="0" w:color="auto"/>
              <w:bottom w:val="single" w:sz="18" w:space="0" w:color="auto"/>
            </w:tcBorders>
            <w:shd w:val="clear" w:color="000000" w:fill="BFBFBF"/>
            <w:vAlign w:val="center"/>
          </w:tcPr>
          <w:p w14:paraId="6B6AC415"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non-obese N=</w:t>
            </w:r>
            <w:r>
              <w:rPr>
                <w:rFonts w:asciiTheme="majorBidi" w:hAnsiTheme="majorBidi" w:cstheme="majorBidi"/>
              </w:rPr>
              <w:t>46</w:t>
            </w:r>
          </w:p>
        </w:tc>
        <w:tc>
          <w:tcPr>
            <w:tcW w:w="2772" w:type="dxa"/>
            <w:tcBorders>
              <w:top w:val="single" w:sz="18" w:space="0" w:color="auto"/>
              <w:bottom w:val="single" w:sz="18" w:space="0" w:color="auto"/>
              <w:right w:val="nil"/>
            </w:tcBorders>
            <w:shd w:val="clear" w:color="000000" w:fill="BFBFBF"/>
            <w:vAlign w:val="center"/>
          </w:tcPr>
          <w:p w14:paraId="79F141C7"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xml:space="preserve"> obese</w:t>
            </w:r>
          </w:p>
          <w:p w14:paraId="37755BB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24</w:t>
            </w:r>
          </w:p>
        </w:tc>
      </w:tr>
      <w:tr w:rsidR="001E0057" w:rsidRPr="008F2447" w14:paraId="4D67D026" w14:textId="77777777" w:rsidTr="003011AA">
        <w:tc>
          <w:tcPr>
            <w:tcW w:w="2771" w:type="dxa"/>
            <w:tcBorders>
              <w:top w:val="single" w:sz="18" w:space="0" w:color="auto"/>
              <w:left w:val="nil"/>
            </w:tcBorders>
            <w:vAlign w:val="center"/>
          </w:tcPr>
          <w:p w14:paraId="0680875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Hip BMD</w:t>
            </w:r>
          </w:p>
        </w:tc>
        <w:tc>
          <w:tcPr>
            <w:tcW w:w="2772" w:type="dxa"/>
            <w:tcBorders>
              <w:top w:val="single" w:sz="18" w:space="0" w:color="auto"/>
            </w:tcBorders>
            <w:vAlign w:val="center"/>
          </w:tcPr>
          <w:p w14:paraId="0BD4557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771" w:type="dxa"/>
            <w:tcBorders>
              <w:top w:val="single" w:sz="18" w:space="0" w:color="auto"/>
            </w:tcBorders>
            <w:vAlign w:val="center"/>
          </w:tcPr>
          <w:p w14:paraId="6BDEA52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5</w:t>
            </w:r>
            <w:r w:rsidRPr="008F2447">
              <w:rPr>
                <w:rFonts w:asciiTheme="majorBidi" w:hAnsiTheme="majorBidi" w:cstheme="majorBidi"/>
              </w:rPr>
              <w:t xml:space="preserve"> (0.0</w:t>
            </w:r>
            <w:r>
              <w:rPr>
                <w:rFonts w:asciiTheme="majorBidi" w:hAnsiTheme="majorBidi" w:cstheme="majorBidi"/>
              </w:rPr>
              <w:t>1</w:t>
            </w:r>
            <w:r w:rsidRPr="008F2447">
              <w:rPr>
                <w:rFonts w:asciiTheme="majorBidi" w:hAnsiTheme="majorBidi" w:cstheme="majorBidi"/>
              </w:rPr>
              <w:t>, 0.</w:t>
            </w:r>
            <w:r>
              <w:rPr>
                <w:rFonts w:asciiTheme="majorBidi" w:hAnsiTheme="majorBidi" w:cstheme="majorBidi"/>
              </w:rPr>
              <w:t>08</w:t>
            </w:r>
            <w:r w:rsidRPr="008F2447">
              <w:rPr>
                <w:rFonts w:asciiTheme="majorBidi" w:hAnsiTheme="majorBidi" w:cstheme="majorBidi"/>
              </w:rPr>
              <w:t>)*</w:t>
            </w:r>
          </w:p>
        </w:tc>
        <w:tc>
          <w:tcPr>
            <w:tcW w:w="2772" w:type="dxa"/>
            <w:tcBorders>
              <w:top w:val="single" w:sz="18" w:space="0" w:color="auto"/>
            </w:tcBorders>
            <w:vAlign w:val="center"/>
          </w:tcPr>
          <w:p w14:paraId="577349A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09</w:t>
            </w:r>
            <w:r w:rsidRPr="008F2447">
              <w:rPr>
                <w:rFonts w:asciiTheme="majorBidi" w:hAnsiTheme="majorBidi" w:cstheme="majorBidi"/>
              </w:rPr>
              <w:t xml:space="preserve"> (-0.</w:t>
            </w:r>
            <w:r>
              <w:rPr>
                <w:rFonts w:asciiTheme="majorBidi" w:hAnsiTheme="majorBidi" w:cstheme="majorBidi"/>
              </w:rPr>
              <w:t>13</w:t>
            </w:r>
            <w:r w:rsidRPr="008F2447">
              <w:rPr>
                <w:rFonts w:asciiTheme="majorBidi" w:hAnsiTheme="majorBidi" w:cstheme="majorBidi"/>
              </w:rPr>
              <w:t>, -0.0</w:t>
            </w:r>
            <w:r>
              <w:rPr>
                <w:rFonts w:asciiTheme="majorBidi" w:hAnsiTheme="majorBidi" w:cstheme="majorBidi"/>
              </w:rPr>
              <w:t>5</w:t>
            </w:r>
            <w:r w:rsidRPr="008F2447">
              <w:rPr>
                <w:rFonts w:asciiTheme="majorBidi" w:hAnsiTheme="majorBidi" w:cstheme="majorBidi"/>
              </w:rPr>
              <w:t>)*^</w:t>
            </w:r>
          </w:p>
        </w:tc>
        <w:tc>
          <w:tcPr>
            <w:tcW w:w="2772" w:type="dxa"/>
            <w:tcBorders>
              <w:top w:val="single" w:sz="18" w:space="0" w:color="auto"/>
              <w:right w:val="nil"/>
            </w:tcBorders>
            <w:vAlign w:val="center"/>
          </w:tcPr>
          <w:p w14:paraId="7CDD35D9"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w:t>
            </w: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 xml:space="preserve"> (-0.0</w:t>
            </w:r>
            <w:r>
              <w:rPr>
                <w:rFonts w:asciiTheme="majorBidi" w:hAnsiTheme="majorBidi" w:cstheme="majorBidi"/>
              </w:rPr>
              <w:t>7</w:t>
            </w:r>
            <w:r w:rsidRPr="008F2447">
              <w:rPr>
                <w:rFonts w:asciiTheme="majorBidi" w:hAnsiTheme="majorBidi" w:cstheme="majorBidi"/>
              </w:rPr>
              <w:t>, 0.0</w:t>
            </w:r>
            <w:r>
              <w:rPr>
                <w:rFonts w:asciiTheme="majorBidi" w:hAnsiTheme="majorBidi" w:cstheme="majorBidi"/>
              </w:rPr>
              <w:t>5</w:t>
            </w:r>
            <w:r w:rsidRPr="008F2447">
              <w:rPr>
                <w:rFonts w:asciiTheme="majorBidi" w:hAnsiTheme="majorBidi" w:cstheme="majorBidi"/>
              </w:rPr>
              <w:t>)</w:t>
            </w:r>
          </w:p>
        </w:tc>
      </w:tr>
      <w:tr w:rsidR="001E0057" w:rsidRPr="008F2447" w14:paraId="134789CB" w14:textId="77777777" w:rsidTr="003011AA">
        <w:tc>
          <w:tcPr>
            <w:tcW w:w="2771" w:type="dxa"/>
            <w:tcBorders>
              <w:left w:val="nil"/>
            </w:tcBorders>
            <w:vAlign w:val="center"/>
          </w:tcPr>
          <w:p w14:paraId="22A927A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BMD</w:t>
            </w:r>
          </w:p>
        </w:tc>
        <w:tc>
          <w:tcPr>
            <w:tcW w:w="2772" w:type="dxa"/>
            <w:vAlign w:val="center"/>
          </w:tcPr>
          <w:p w14:paraId="4E6245E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771" w:type="dxa"/>
            <w:vAlign w:val="center"/>
          </w:tcPr>
          <w:p w14:paraId="2B2140E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4</w:t>
            </w:r>
            <w:r w:rsidRPr="008F2447">
              <w:rPr>
                <w:rFonts w:asciiTheme="majorBidi" w:hAnsiTheme="majorBidi" w:cstheme="majorBidi"/>
              </w:rPr>
              <w:t xml:space="preserve"> (</w:t>
            </w:r>
            <w:r>
              <w:rPr>
                <w:rFonts w:asciiTheme="majorBidi" w:hAnsiTheme="majorBidi" w:cstheme="majorBidi"/>
              </w:rPr>
              <w:t>-</w:t>
            </w: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 0.09)</w:t>
            </w:r>
          </w:p>
        </w:tc>
        <w:tc>
          <w:tcPr>
            <w:tcW w:w="2772" w:type="dxa"/>
            <w:vAlign w:val="center"/>
          </w:tcPr>
          <w:p w14:paraId="35C4CE4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11</w:t>
            </w:r>
            <w:r w:rsidRPr="008F2447">
              <w:rPr>
                <w:rFonts w:asciiTheme="majorBidi" w:hAnsiTheme="majorBidi" w:cstheme="majorBidi"/>
              </w:rPr>
              <w:t xml:space="preserve"> (-0.</w:t>
            </w:r>
            <w:r>
              <w:rPr>
                <w:rFonts w:asciiTheme="majorBidi" w:hAnsiTheme="majorBidi" w:cstheme="majorBidi"/>
              </w:rPr>
              <w:t>16</w:t>
            </w:r>
            <w:r w:rsidRPr="008F2447">
              <w:rPr>
                <w:rFonts w:asciiTheme="majorBidi" w:hAnsiTheme="majorBidi" w:cstheme="majorBidi"/>
              </w:rPr>
              <w:t xml:space="preserve">, </w:t>
            </w:r>
            <w:r>
              <w:rPr>
                <w:rFonts w:asciiTheme="majorBidi" w:hAnsiTheme="majorBidi" w:cstheme="majorBidi"/>
              </w:rPr>
              <w:t>-</w:t>
            </w:r>
            <w:r w:rsidRPr="008F2447">
              <w:rPr>
                <w:rFonts w:asciiTheme="majorBidi" w:hAnsiTheme="majorBidi" w:cstheme="majorBidi"/>
              </w:rPr>
              <w:t>0.0</w:t>
            </w:r>
            <w:r>
              <w:rPr>
                <w:rFonts w:asciiTheme="majorBidi" w:hAnsiTheme="majorBidi" w:cstheme="majorBidi"/>
              </w:rPr>
              <w:t>5</w:t>
            </w:r>
            <w:r w:rsidRPr="008F2447">
              <w:rPr>
                <w:rFonts w:asciiTheme="majorBidi" w:hAnsiTheme="majorBidi" w:cstheme="majorBidi"/>
              </w:rPr>
              <w:t>)</w:t>
            </w:r>
            <w:r>
              <w:rPr>
                <w:rFonts w:asciiTheme="majorBidi" w:hAnsiTheme="majorBidi" w:cstheme="majorBidi"/>
              </w:rPr>
              <w:t>*</w:t>
            </w:r>
            <w:r w:rsidRPr="008F2447">
              <w:rPr>
                <w:rFonts w:asciiTheme="majorBidi" w:hAnsiTheme="majorBidi" w:cstheme="majorBidi"/>
              </w:rPr>
              <w:t>^</w:t>
            </w:r>
          </w:p>
        </w:tc>
        <w:tc>
          <w:tcPr>
            <w:tcW w:w="2772" w:type="dxa"/>
            <w:tcBorders>
              <w:right w:val="nil"/>
            </w:tcBorders>
            <w:vAlign w:val="center"/>
          </w:tcPr>
          <w:p w14:paraId="5A29DE71"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w:t>
            </w:r>
            <w:r w:rsidRPr="008F2447">
              <w:rPr>
                <w:rFonts w:asciiTheme="majorBidi" w:hAnsiTheme="majorBidi" w:cstheme="majorBidi"/>
              </w:rPr>
              <w:t>0.0</w:t>
            </w:r>
            <w:r>
              <w:rPr>
                <w:rFonts w:asciiTheme="majorBidi" w:hAnsiTheme="majorBidi" w:cstheme="majorBidi"/>
              </w:rPr>
              <w:t>6</w:t>
            </w:r>
            <w:r w:rsidRPr="008F2447">
              <w:rPr>
                <w:rFonts w:asciiTheme="majorBidi" w:hAnsiTheme="majorBidi" w:cstheme="majorBidi"/>
              </w:rPr>
              <w:t xml:space="preserve"> (-0.0</w:t>
            </w:r>
            <w:r>
              <w:rPr>
                <w:rFonts w:asciiTheme="majorBidi" w:hAnsiTheme="majorBidi" w:cstheme="majorBidi"/>
              </w:rPr>
              <w:t>6</w:t>
            </w:r>
            <w:r w:rsidRPr="008F2447">
              <w:rPr>
                <w:rFonts w:asciiTheme="majorBidi" w:hAnsiTheme="majorBidi" w:cstheme="majorBidi"/>
              </w:rPr>
              <w:t>, 0.0</w:t>
            </w:r>
            <w:r>
              <w:rPr>
                <w:rFonts w:asciiTheme="majorBidi" w:hAnsiTheme="majorBidi" w:cstheme="majorBidi"/>
              </w:rPr>
              <w:t>4</w:t>
            </w:r>
            <w:r w:rsidRPr="008F2447">
              <w:rPr>
                <w:rFonts w:asciiTheme="majorBidi" w:hAnsiTheme="majorBidi" w:cstheme="majorBidi"/>
              </w:rPr>
              <w:t>)^</w:t>
            </w:r>
          </w:p>
        </w:tc>
      </w:tr>
      <w:tr w:rsidR="001E0057" w:rsidRPr="008F2447" w14:paraId="7E7393F5" w14:textId="77777777" w:rsidTr="003011AA">
        <w:tc>
          <w:tcPr>
            <w:tcW w:w="2771" w:type="dxa"/>
            <w:tcBorders>
              <w:left w:val="nil"/>
              <w:bottom w:val="single" w:sz="18" w:space="0" w:color="auto"/>
            </w:tcBorders>
            <w:vAlign w:val="center"/>
          </w:tcPr>
          <w:p w14:paraId="3A7DE41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Body BMD</w:t>
            </w:r>
          </w:p>
        </w:tc>
        <w:tc>
          <w:tcPr>
            <w:tcW w:w="2772" w:type="dxa"/>
            <w:tcBorders>
              <w:bottom w:val="single" w:sz="18" w:space="0" w:color="auto"/>
            </w:tcBorders>
            <w:vAlign w:val="center"/>
          </w:tcPr>
          <w:p w14:paraId="0AA370A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771" w:type="dxa"/>
            <w:tcBorders>
              <w:bottom w:val="single" w:sz="18" w:space="0" w:color="auto"/>
            </w:tcBorders>
            <w:vAlign w:val="center"/>
          </w:tcPr>
          <w:p w14:paraId="3B24FED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2</w:t>
            </w:r>
            <w:r w:rsidRPr="008F2447">
              <w:rPr>
                <w:rFonts w:asciiTheme="majorBidi" w:hAnsiTheme="majorBidi" w:cstheme="majorBidi"/>
              </w:rPr>
              <w:t xml:space="preserve"> (</w:t>
            </w:r>
            <w:r>
              <w:rPr>
                <w:rFonts w:asciiTheme="majorBidi" w:hAnsiTheme="majorBidi" w:cstheme="majorBidi"/>
              </w:rPr>
              <w:t>-</w:t>
            </w: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 0.</w:t>
            </w:r>
            <w:r>
              <w:rPr>
                <w:rFonts w:asciiTheme="majorBidi" w:hAnsiTheme="majorBidi" w:cstheme="majorBidi"/>
              </w:rPr>
              <w:t>06</w:t>
            </w:r>
            <w:r w:rsidRPr="008F2447">
              <w:rPr>
                <w:rFonts w:asciiTheme="majorBidi" w:hAnsiTheme="majorBidi" w:cstheme="majorBidi"/>
              </w:rPr>
              <w:t>)</w:t>
            </w:r>
          </w:p>
        </w:tc>
        <w:tc>
          <w:tcPr>
            <w:tcW w:w="2772" w:type="dxa"/>
            <w:tcBorders>
              <w:bottom w:val="single" w:sz="18" w:space="0" w:color="auto"/>
            </w:tcBorders>
            <w:vAlign w:val="center"/>
          </w:tcPr>
          <w:p w14:paraId="1551985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06</w:t>
            </w:r>
            <w:r w:rsidRPr="008F2447">
              <w:rPr>
                <w:rFonts w:asciiTheme="majorBidi" w:hAnsiTheme="majorBidi" w:cstheme="majorBidi"/>
              </w:rPr>
              <w:t xml:space="preserve"> (-0.</w:t>
            </w:r>
            <w:r>
              <w:rPr>
                <w:rFonts w:asciiTheme="majorBidi" w:hAnsiTheme="majorBidi" w:cstheme="majorBidi"/>
              </w:rPr>
              <w:t>10</w:t>
            </w:r>
            <w:r w:rsidRPr="008F2447">
              <w:rPr>
                <w:rFonts w:asciiTheme="majorBidi" w:hAnsiTheme="majorBidi" w:cstheme="majorBidi"/>
              </w:rPr>
              <w:t>, -0.0</w:t>
            </w:r>
            <w:r>
              <w:rPr>
                <w:rFonts w:asciiTheme="majorBidi" w:hAnsiTheme="majorBidi" w:cstheme="majorBidi"/>
              </w:rPr>
              <w:t>1</w:t>
            </w:r>
            <w:r w:rsidRPr="008F2447">
              <w:rPr>
                <w:rFonts w:asciiTheme="majorBidi" w:hAnsiTheme="majorBidi" w:cstheme="majorBidi"/>
              </w:rPr>
              <w:t>)*^</w:t>
            </w:r>
          </w:p>
        </w:tc>
        <w:tc>
          <w:tcPr>
            <w:tcW w:w="2772" w:type="dxa"/>
            <w:tcBorders>
              <w:bottom w:val="single" w:sz="18" w:space="0" w:color="auto"/>
              <w:right w:val="nil"/>
            </w:tcBorders>
            <w:vAlign w:val="center"/>
          </w:tcPr>
          <w:p w14:paraId="764CE17E"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w:t>
            </w:r>
            <w:r w:rsidRPr="008F2447">
              <w:rPr>
                <w:rFonts w:asciiTheme="majorBidi" w:hAnsiTheme="majorBidi" w:cstheme="majorBidi"/>
              </w:rPr>
              <w:t>0.0</w:t>
            </w:r>
            <w:r>
              <w:rPr>
                <w:rFonts w:asciiTheme="majorBidi" w:hAnsiTheme="majorBidi" w:cstheme="majorBidi"/>
              </w:rPr>
              <w:t>4</w:t>
            </w:r>
            <w:r w:rsidRPr="008F2447">
              <w:rPr>
                <w:rFonts w:asciiTheme="majorBidi" w:hAnsiTheme="majorBidi" w:cstheme="majorBidi"/>
              </w:rPr>
              <w:t xml:space="preserve"> (-0.</w:t>
            </w:r>
            <w:r>
              <w:rPr>
                <w:rFonts w:asciiTheme="majorBidi" w:hAnsiTheme="majorBidi" w:cstheme="majorBidi"/>
              </w:rPr>
              <w:t>1</w:t>
            </w:r>
            <w:r w:rsidRPr="008F2447">
              <w:rPr>
                <w:rFonts w:asciiTheme="majorBidi" w:hAnsiTheme="majorBidi" w:cstheme="majorBidi"/>
              </w:rPr>
              <w:t>0, 0.0</w:t>
            </w:r>
            <w:r>
              <w:rPr>
                <w:rFonts w:asciiTheme="majorBidi" w:hAnsiTheme="majorBidi" w:cstheme="majorBidi"/>
              </w:rPr>
              <w:t>1</w:t>
            </w:r>
            <w:r w:rsidRPr="008F2447">
              <w:rPr>
                <w:rFonts w:asciiTheme="majorBidi" w:hAnsiTheme="majorBidi" w:cstheme="majorBidi"/>
              </w:rPr>
              <w:t>)^</w:t>
            </w:r>
          </w:p>
        </w:tc>
      </w:tr>
      <w:tr w:rsidR="001E0057" w:rsidRPr="008F2447" w14:paraId="27122350" w14:textId="77777777" w:rsidTr="003011AA">
        <w:tc>
          <w:tcPr>
            <w:tcW w:w="13858" w:type="dxa"/>
            <w:gridSpan w:val="5"/>
            <w:tcBorders>
              <w:top w:val="single" w:sz="18" w:space="0" w:color="auto"/>
              <w:left w:val="nil"/>
              <w:bottom w:val="single" w:sz="18" w:space="0" w:color="auto"/>
            </w:tcBorders>
            <w:shd w:val="clear" w:color="auto" w:fill="BFBFBF" w:themeFill="background1" w:themeFillShade="BF"/>
            <w:vAlign w:val="center"/>
          </w:tcPr>
          <w:p w14:paraId="33002181" w14:textId="77777777" w:rsidR="001E0057" w:rsidRPr="002A7AFA" w:rsidRDefault="001E0057" w:rsidP="003011AA">
            <w:pPr>
              <w:spacing w:line="480" w:lineRule="auto"/>
              <w:jc w:val="center"/>
              <w:rPr>
                <w:rFonts w:asciiTheme="majorBidi" w:hAnsiTheme="majorBidi" w:cstheme="majorBidi"/>
                <w:b/>
                <w:bCs/>
                <w:i/>
                <w:iCs/>
              </w:rPr>
            </w:pPr>
            <w:r w:rsidRPr="002A7AFA">
              <w:rPr>
                <w:rFonts w:asciiTheme="majorBidi" w:hAnsiTheme="majorBidi" w:cstheme="majorBidi"/>
                <w:b/>
                <w:bCs/>
                <w:i/>
                <w:iCs/>
              </w:rPr>
              <w:t>Females</w:t>
            </w:r>
          </w:p>
        </w:tc>
      </w:tr>
      <w:tr w:rsidR="001E0057" w:rsidRPr="008F2447" w14:paraId="1297D67A" w14:textId="77777777" w:rsidTr="003011AA">
        <w:tc>
          <w:tcPr>
            <w:tcW w:w="2771" w:type="dxa"/>
            <w:tcBorders>
              <w:left w:val="nil"/>
              <w:bottom w:val="single" w:sz="18" w:space="0" w:color="auto"/>
            </w:tcBorders>
            <w:shd w:val="clear" w:color="auto" w:fill="BFBFBF" w:themeFill="background1" w:themeFillShade="BF"/>
            <w:vAlign w:val="center"/>
          </w:tcPr>
          <w:p w14:paraId="7DE1788B" w14:textId="77777777" w:rsidR="001E0057" w:rsidRDefault="001E0057" w:rsidP="003011AA">
            <w:pPr>
              <w:spacing w:line="480" w:lineRule="auto"/>
              <w:jc w:val="center"/>
              <w:rPr>
                <w:rFonts w:asciiTheme="majorBidi" w:hAnsiTheme="majorBidi" w:cstheme="majorBidi"/>
              </w:rPr>
            </w:pPr>
          </w:p>
        </w:tc>
        <w:tc>
          <w:tcPr>
            <w:tcW w:w="2772" w:type="dxa"/>
            <w:tcBorders>
              <w:bottom w:val="single" w:sz="18" w:space="0" w:color="auto"/>
            </w:tcBorders>
            <w:shd w:val="clear" w:color="auto" w:fill="BFBFBF" w:themeFill="background1" w:themeFillShade="BF"/>
            <w:vAlign w:val="center"/>
          </w:tcPr>
          <w:p w14:paraId="4DDA6D72"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Pr>
                <w:rFonts w:asciiTheme="majorBidi" w:hAnsiTheme="majorBidi" w:cstheme="majorBidi"/>
                <w:lang w:val="it-IT"/>
              </w:rPr>
              <w:t xml:space="preserve"> and non-</w:t>
            </w:r>
            <w:proofErr w:type="spellStart"/>
            <w:r>
              <w:rPr>
                <w:rFonts w:asciiTheme="majorBidi" w:hAnsiTheme="majorBidi" w:cstheme="majorBidi"/>
                <w:lang w:val="it-IT"/>
              </w:rPr>
              <w:t>dynapenic</w:t>
            </w:r>
            <w:proofErr w:type="spellEnd"/>
            <w:r w:rsidRPr="008F2447">
              <w:rPr>
                <w:rFonts w:asciiTheme="majorBidi" w:hAnsiTheme="majorBidi" w:cstheme="majorBidi"/>
                <w:lang w:val="it-IT"/>
              </w:rPr>
              <w:t>, non-obese</w:t>
            </w:r>
          </w:p>
          <w:p w14:paraId="4FA59F7B" w14:textId="77777777" w:rsidR="001E0057" w:rsidRPr="002A7AFA"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w:t>
            </w:r>
            <w:r>
              <w:rPr>
                <w:rFonts w:asciiTheme="majorBidi" w:hAnsiTheme="majorBidi" w:cstheme="majorBidi"/>
                <w:lang w:val="it-IT"/>
              </w:rPr>
              <w:t>137</w:t>
            </w:r>
          </w:p>
        </w:tc>
        <w:tc>
          <w:tcPr>
            <w:tcW w:w="2771" w:type="dxa"/>
            <w:tcBorders>
              <w:bottom w:val="single" w:sz="18" w:space="0" w:color="auto"/>
            </w:tcBorders>
            <w:shd w:val="clear" w:color="auto" w:fill="BFBFBF" w:themeFill="background1" w:themeFillShade="BF"/>
            <w:vAlign w:val="center"/>
          </w:tcPr>
          <w:p w14:paraId="1FE40F3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Pr>
                <w:rFonts w:asciiTheme="majorBidi" w:hAnsiTheme="majorBidi" w:cstheme="majorBidi"/>
              </w:rPr>
              <w:t xml:space="preserve"> and non-</w:t>
            </w:r>
            <w:proofErr w:type="spellStart"/>
            <w:r>
              <w:rPr>
                <w:rFonts w:asciiTheme="majorBidi" w:hAnsiTheme="majorBidi" w:cstheme="majorBidi"/>
              </w:rPr>
              <w:t>dynapenic</w:t>
            </w:r>
            <w:proofErr w:type="spellEnd"/>
            <w:r w:rsidRPr="008F2447">
              <w:rPr>
                <w:rFonts w:asciiTheme="majorBidi" w:hAnsiTheme="majorBidi" w:cstheme="majorBidi"/>
              </w:rPr>
              <w:t>, obese</w:t>
            </w:r>
          </w:p>
          <w:p w14:paraId="0B27BF05"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83</w:t>
            </w:r>
          </w:p>
        </w:tc>
        <w:tc>
          <w:tcPr>
            <w:tcW w:w="2772" w:type="dxa"/>
            <w:tcBorders>
              <w:bottom w:val="single" w:sz="18" w:space="0" w:color="auto"/>
            </w:tcBorders>
            <w:shd w:val="clear" w:color="auto" w:fill="BFBFBF" w:themeFill="background1" w:themeFillShade="BF"/>
            <w:vAlign w:val="center"/>
          </w:tcPr>
          <w:p w14:paraId="0ED7CBBB" w14:textId="77777777" w:rsidR="001E005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non-obese N=</w:t>
            </w:r>
            <w:r>
              <w:rPr>
                <w:rFonts w:asciiTheme="majorBidi" w:hAnsiTheme="majorBidi" w:cstheme="majorBidi"/>
              </w:rPr>
              <w:t>42</w:t>
            </w:r>
          </w:p>
        </w:tc>
        <w:tc>
          <w:tcPr>
            <w:tcW w:w="2772" w:type="dxa"/>
            <w:tcBorders>
              <w:bottom w:val="single" w:sz="18" w:space="0" w:color="auto"/>
              <w:right w:val="nil"/>
            </w:tcBorders>
            <w:shd w:val="clear" w:color="auto" w:fill="BFBFBF" w:themeFill="background1" w:themeFillShade="BF"/>
            <w:vAlign w:val="center"/>
          </w:tcPr>
          <w:p w14:paraId="07AF7F28"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xml:space="preserve"> obese</w:t>
            </w:r>
          </w:p>
          <w:p w14:paraId="72ADDA2D"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22</w:t>
            </w:r>
          </w:p>
        </w:tc>
      </w:tr>
      <w:tr w:rsidR="001E0057" w:rsidRPr="008F2447" w14:paraId="2BD48D10" w14:textId="77777777" w:rsidTr="003011AA">
        <w:tc>
          <w:tcPr>
            <w:tcW w:w="2771" w:type="dxa"/>
            <w:tcBorders>
              <w:top w:val="single" w:sz="18" w:space="0" w:color="auto"/>
              <w:left w:val="nil"/>
              <w:bottom w:val="single" w:sz="4" w:space="0" w:color="auto"/>
            </w:tcBorders>
            <w:vAlign w:val="center"/>
          </w:tcPr>
          <w:p w14:paraId="660BCFF9"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Hip BMD</w:t>
            </w:r>
          </w:p>
        </w:tc>
        <w:tc>
          <w:tcPr>
            <w:tcW w:w="2772" w:type="dxa"/>
            <w:tcBorders>
              <w:top w:val="single" w:sz="18" w:space="0" w:color="auto"/>
              <w:bottom w:val="single" w:sz="4" w:space="0" w:color="auto"/>
            </w:tcBorders>
            <w:vAlign w:val="center"/>
          </w:tcPr>
          <w:p w14:paraId="6E367280"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rPr>
              <w:t>REF</w:t>
            </w:r>
          </w:p>
        </w:tc>
        <w:tc>
          <w:tcPr>
            <w:tcW w:w="2771" w:type="dxa"/>
            <w:tcBorders>
              <w:top w:val="single" w:sz="18" w:space="0" w:color="auto"/>
              <w:bottom w:val="single" w:sz="4" w:space="0" w:color="auto"/>
            </w:tcBorders>
            <w:vAlign w:val="center"/>
          </w:tcPr>
          <w:p w14:paraId="39D379A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14 (0.10</w:t>
            </w:r>
            <w:r w:rsidRPr="008F2447">
              <w:rPr>
                <w:rFonts w:asciiTheme="majorBidi" w:hAnsiTheme="majorBidi" w:cstheme="majorBidi"/>
              </w:rPr>
              <w:t>, 0.</w:t>
            </w:r>
            <w:r>
              <w:rPr>
                <w:rFonts w:asciiTheme="majorBidi" w:hAnsiTheme="majorBidi" w:cstheme="majorBidi"/>
              </w:rPr>
              <w:t>17</w:t>
            </w:r>
            <w:r w:rsidRPr="008F2447">
              <w:rPr>
                <w:rFonts w:asciiTheme="majorBidi" w:hAnsiTheme="majorBidi" w:cstheme="majorBidi"/>
              </w:rPr>
              <w:t>)*</w:t>
            </w:r>
          </w:p>
        </w:tc>
        <w:tc>
          <w:tcPr>
            <w:tcW w:w="2772" w:type="dxa"/>
            <w:tcBorders>
              <w:top w:val="single" w:sz="18" w:space="0" w:color="auto"/>
              <w:bottom w:val="single" w:sz="4" w:space="0" w:color="auto"/>
            </w:tcBorders>
            <w:vAlign w:val="center"/>
          </w:tcPr>
          <w:p w14:paraId="00EFF8A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04</w:t>
            </w:r>
            <w:r w:rsidRPr="008F2447">
              <w:rPr>
                <w:rFonts w:asciiTheme="majorBidi" w:hAnsiTheme="majorBidi" w:cstheme="majorBidi"/>
              </w:rPr>
              <w:t xml:space="preserve"> (-0.0</w:t>
            </w:r>
            <w:r>
              <w:rPr>
                <w:rFonts w:asciiTheme="majorBidi" w:hAnsiTheme="majorBidi" w:cstheme="majorBidi"/>
              </w:rPr>
              <w:t xml:space="preserve">8, </w:t>
            </w: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w:t>
            </w:r>
          </w:p>
        </w:tc>
        <w:tc>
          <w:tcPr>
            <w:tcW w:w="2772" w:type="dxa"/>
            <w:tcBorders>
              <w:top w:val="single" w:sz="18" w:space="0" w:color="auto"/>
              <w:bottom w:val="single" w:sz="4" w:space="0" w:color="auto"/>
              <w:right w:val="nil"/>
            </w:tcBorders>
            <w:vAlign w:val="center"/>
          </w:tcPr>
          <w:p w14:paraId="1123F75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7 (</w:t>
            </w:r>
            <w:r w:rsidRPr="008F2447">
              <w:rPr>
                <w:rFonts w:asciiTheme="majorBidi" w:hAnsiTheme="majorBidi" w:cstheme="majorBidi"/>
              </w:rPr>
              <w:t>0.0</w:t>
            </w:r>
            <w:r>
              <w:rPr>
                <w:rFonts w:asciiTheme="majorBidi" w:hAnsiTheme="majorBidi" w:cstheme="majorBidi"/>
              </w:rPr>
              <w:t>1, 0.12</w:t>
            </w:r>
            <w:r w:rsidRPr="008F2447">
              <w:rPr>
                <w:rFonts w:asciiTheme="majorBidi" w:hAnsiTheme="majorBidi" w:cstheme="majorBidi"/>
              </w:rPr>
              <w:t>)</w:t>
            </w:r>
            <w:r>
              <w:rPr>
                <w:rFonts w:asciiTheme="majorBidi" w:hAnsiTheme="majorBidi" w:cstheme="majorBidi"/>
              </w:rPr>
              <w:t>*</w:t>
            </w:r>
            <w:r w:rsidRPr="008F2447">
              <w:rPr>
                <w:rFonts w:asciiTheme="majorBidi" w:hAnsiTheme="majorBidi" w:cstheme="majorBidi"/>
              </w:rPr>
              <w:t>^</w:t>
            </w:r>
          </w:p>
        </w:tc>
      </w:tr>
      <w:tr w:rsidR="001E0057" w:rsidRPr="008F2447" w14:paraId="04ECE6BE" w14:textId="77777777" w:rsidTr="003011AA">
        <w:tc>
          <w:tcPr>
            <w:tcW w:w="2771" w:type="dxa"/>
            <w:tcBorders>
              <w:top w:val="single" w:sz="4" w:space="0" w:color="auto"/>
              <w:left w:val="nil"/>
              <w:bottom w:val="single" w:sz="4" w:space="0" w:color="auto"/>
            </w:tcBorders>
            <w:vAlign w:val="center"/>
          </w:tcPr>
          <w:p w14:paraId="1434769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BMD</w:t>
            </w:r>
          </w:p>
        </w:tc>
        <w:tc>
          <w:tcPr>
            <w:tcW w:w="2772" w:type="dxa"/>
            <w:tcBorders>
              <w:top w:val="single" w:sz="4" w:space="0" w:color="auto"/>
              <w:bottom w:val="single" w:sz="4" w:space="0" w:color="auto"/>
            </w:tcBorders>
            <w:vAlign w:val="center"/>
          </w:tcPr>
          <w:p w14:paraId="3BB663E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771" w:type="dxa"/>
            <w:tcBorders>
              <w:top w:val="single" w:sz="4" w:space="0" w:color="auto"/>
              <w:bottom w:val="single" w:sz="4" w:space="0" w:color="auto"/>
            </w:tcBorders>
            <w:vAlign w:val="center"/>
          </w:tcPr>
          <w:p w14:paraId="5F23330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8</w:t>
            </w:r>
            <w:r w:rsidRPr="008F2447">
              <w:rPr>
                <w:rFonts w:asciiTheme="majorBidi" w:hAnsiTheme="majorBidi" w:cstheme="majorBidi"/>
              </w:rPr>
              <w:t xml:space="preserve"> (0.0</w:t>
            </w:r>
            <w:r>
              <w:rPr>
                <w:rFonts w:asciiTheme="majorBidi" w:hAnsiTheme="majorBidi" w:cstheme="majorBidi"/>
              </w:rPr>
              <w:t>4, 0.12</w:t>
            </w:r>
            <w:r w:rsidRPr="008F2447">
              <w:rPr>
                <w:rFonts w:asciiTheme="majorBidi" w:hAnsiTheme="majorBidi" w:cstheme="majorBidi"/>
              </w:rPr>
              <w:t>)*</w:t>
            </w:r>
          </w:p>
        </w:tc>
        <w:tc>
          <w:tcPr>
            <w:tcW w:w="2772" w:type="dxa"/>
            <w:tcBorders>
              <w:top w:val="single" w:sz="4" w:space="0" w:color="auto"/>
              <w:bottom w:val="single" w:sz="4" w:space="0" w:color="auto"/>
            </w:tcBorders>
            <w:vAlign w:val="center"/>
          </w:tcPr>
          <w:p w14:paraId="6468713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4</w:t>
            </w:r>
            <w:r w:rsidRPr="008F2447">
              <w:rPr>
                <w:rFonts w:asciiTheme="majorBidi" w:hAnsiTheme="majorBidi" w:cstheme="majorBidi"/>
              </w:rPr>
              <w:t xml:space="preserve"> (-0.</w:t>
            </w:r>
            <w:r>
              <w:rPr>
                <w:rFonts w:asciiTheme="majorBidi" w:hAnsiTheme="majorBidi" w:cstheme="majorBidi"/>
              </w:rPr>
              <w:t>10</w:t>
            </w:r>
            <w:r w:rsidRPr="008F2447">
              <w:rPr>
                <w:rFonts w:asciiTheme="majorBidi" w:hAnsiTheme="majorBidi" w:cstheme="majorBidi"/>
              </w:rPr>
              <w:t>, 0.0</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w:t>
            </w:r>
            <w:r w:rsidRPr="008F2447">
              <w:rPr>
                <w:rFonts w:asciiTheme="majorBidi" w:hAnsiTheme="majorBidi" w:cstheme="majorBidi"/>
              </w:rPr>
              <w:t>^</w:t>
            </w:r>
          </w:p>
        </w:tc>
        <w:tc>
          <w:tcPr>
            <w:tcW w:w="2772" w:type="dxa"/>
            <w:tcBorders>
              <w:top w:val="single" w:sz="4" w:space="0" w:color="auto"/>
              <w:bottom w:val="single" w:sz="4" w:space="0" w:color="auto"/>
              <w:right w:val="nil"/>
            </w:tcBorders>
            <w:vAlign w:val="center"/>
          </w:tcPr>
          <w:p w14:paraId="15CD6D75"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4</w:t>
            </w:r>
            <w:r w:rsidRPr="008F2447">
              <w:rPr>
                <w:rFonts w:asciiTheme="majorBidi" w:hAnsiTheme="majorBidi" w:cstheme="majorBidi"/>
              </w:rPr>
              <w:t xml:space="preserve"> (-0.0</w:t>
            </w:r>
            <w:r>
              <w:rPr>
                <w:rFonts w:asciiTheme="majorBidi" w:hAnsiTheme="majorBidi" w:cstheme="majorBidi"/>
              </w:rPr>
              <w:t>2, 0.11)</w:t>
            </w:r>
          </w:p>
        </w:tc>
      </w:tr>
      <w:tr w:rsidR="001E0057" w:rsidRPr="008F2447" w14:paraId="1EE31342" w14:textId="77777777" w:rsidTr="003011AA">
        <w:tc>
          <w:tcPr>
            <w:tcW w:w="2771" w:type="dxa"/>
            <w:tcBorders>
              <w:top w:val="single" w:sz="4" w:space="0" w:color="auto"/>
              <w:left w:val="nil"/>
              <w:bottom w:val="single" w:sz="18" w:space="0" w:color="auto"/>
            </w:tcBorders>
            <w:vAlign w:val="center"/>
          </w:tcPr>
          <w:p w14:paraId="0F5CB43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lastRenderedPageBreak/>
              <w:t>Total Body BMD</w:t>
            </w:r>
          </w:p>
        </w:tc>
        <w:tc>
          <w:tcPr>
            <w:tcW w:w="2772" w:type="dxa"/>
            <w:tcBorders>
              <w:top w:val="single" w:sz="4" w:space="0" w:color="auto"/>
              <w:bottom w:val="single" w:sz="18" w:space="0" w:color="auto"/>
            </w:tcBorders>
            <w:vAlign w:val="center"/>
          </w:tcPr>
          <w:p w14:paraId="727A1D0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771" w:type="dxa"/>
            <w:tcBorders>
              <w:top w:val="single" w:sz="4" w:space="0" w:color="auto"/>
              <w:bottom w:val="single" w:sz="18" w:space="0" w:color="auto"/>
            </w:tcBorders>
            <w:vAlign w:val="center"/>
          </w:tcPr>
          <w:p w14:paraId="51B8BC8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5</w:t>
            </w:r>
            <w:r w:rsidRPr="008F2447">
              <w:rPr>
                <w:rFonts w:asciiTheme="majorBidi" w:hAnsiTheme="majorBidi" w:cstheme="majorBidi"/>
              </w:rPr>
              <w:t xml:space="preserve"> (0.0</w:t>
            </w:r>
            <w:r>
              <w:rPr>
                <w:rFonts w:asciiTheme="majorBidi" w:hAnsiTheme="majorBidi" w:cstheme="majorBidi"/>
              </w:rPr>
              <w:t>2</w:t>
            </w:r>
            <w:r w:rsidRPr="008F2447">
              <w:rPr>
                <w:rFonts w:asciiTheme="majorBidi" w:hAnsiTheme="majorBidi" w:cstheme="majorBidi"/>
              </w:rPr>
              <w:t>, 0.</w:t>
            </w:r>
            <w:r>
              <w:rPr>
                <w:rFonts w:asciiTheme="majorBidi" w:hAnsiTheme="majorBidi" w:cstheme="majorBidi"/>
              </w:rPr>
              <w:t>08</w:t>
            </w:r>
            <w:r w:rsidRPr="008F2447">
              <w:rPr>
                <w:rFonts w:asciiTheme="majorBidi" w:hAnsiTheme="majorBidi" w:cstheme="majorBidi"/>
              </w:rPr>
              <w:t>)*</w:t>
            </w:r>
          </w:p>
        </w:tc>
        <w:tc>
          <w:tcPr>
            <w:tcW w:w="2772" w:type="dxa"/>
            <w:tcBorders>
              <w:top w:val="single" w:sz="4" w:space="0" w:color="auto"/>
              <w:bottom w:val="single" w:sz="18" w:space="0" w:color="auto"/>
            </w:tcBorders>
            <w:vAlign w:val="center"/>
          </w:tcPr>
          <w:p w14:paraId="37268F2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03</w:t>
            </w:r>
            <w:r w:rsidRPr="008F2447">
              <w:rPr>
                <w:rFonts w:asciiTheme="majorBidi" w:hAnsiTheme="majorBidi" w:cstheme="majorBidi"/>
              </w:rPr>
              <w:t xml:space="preserve"> (-0.0</w:t>
            </w:r>
            <w:r>
              <w:rPr>
                <w:rFonts w:asciiTheme="majorBidi" w:hAnsiTheme="majorBidi" w:cstheme="majorBidi"/>
              </w:rPr>
              <w:t xml:space="preserve">7, </w:t>
            </w: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w:t>
            </w:r>
          </w:p>
        </w:tc>
        <w:tc>
          <w:tcPr>
            <w:tcW w:w="2772" w:type="dxa"/>
            <w:tcBorders>
              <w:top w:val="single" w:sz="4" w:space="0" w:color="auto"/>
              <w:bottom w:val="single" w:sz="18" w:space="0" w:color="auto"/>
              <w:right w:val="nil"/>
            </w:tcBorders>
            <w:vAlign w:val="center"/>
          </w:tcPr>
          <w:p w14:paraId="5D4E4612"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0.0</w:t>
            </w:r>
            <w:r>
              <w:rPr>
                <w:rFonts w:asciiTheme="majorBidi" w:hAnsiTheme="majorBidi" w:cstheme="majorBidi"/>
              </w:rPr>
              <w:t>1</w:t>
            </w:r>
            <w:r w:rsidRPr="008F2447">
              <w:rPr>
                <w:rFonts w:asciiTheme="majorBidi" w:hAnsiTheme="majorBidi" w:cstheme="majorBidi"/>
              </w:rPr>
              <w:t xml:space="preserve"> (-0.0</w:t>
            </w:r>
            <w:r>
              <w:rPr>
                <w:rFonts w:asciiTheme="majorBidi" w:hAnsiTheme="majorBidi" w:cstheme="majorBidi"/>
              </w:rPr>
              <w:t>4</w:t>
            </w:r>
            <w:r w:rsidRPr="008F2447">
              <w:rPr>
                <w:rFonts w:asciiTheme="majorBidi" w:hAnsiTheme="majorBidi" w:cstheme="majorBidi"/>
              </w:rPr>
              <w:t>, 0.0</w:t>
            </w:r>
            <w:r>
              <w:rPr>
                <w:rFonts w:asciiTheme="majorBidi" w:hAnsiTheme="majorBidi" w:cstheme="majorBidi"/>
              </w:rPr>
              <w:t>6)</w:t>
            </w:r>
          </w:p>
        </w:tc>
      </w:tr>
    </w:tbl>
    <w:p w14:paraId="086681FA"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*Significantly different to non-</w:t>
      </w: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w:t>
      </w:r>
    </w:p>
    <w:p w14:paraId="5F9513BC"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^Significantly different to non-</w:t>
      </w: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w:t>
      </w:r>
    </w:p>
    <w:p w14:paraId="7522EACF" w14:textId="77777777" w:rsidR="001E0057" w:rsidRPr="003D2F8C" w:rsidRDefault="001E0057" w:rsidP="001E0057">
      <w:pPr>
        <w:spacing w:line="480" w:lineRule="auto"/>
        <w:rPr>
          <w:rFonts w:asciiTheme="majorBidi" w:hAnsiTheme="majorBidi" w:cstheme="majorBidi"/>
        </w:rPr>
      </w:pPr>
      <w:r>
        <w:rPr>
          <w:rFonts w:asciiTheme="majorBidi" w:hAnsiTheme="majorBidi" w:cstheme="majorBidi"/>
        </w:rPr>
        <w:t>A</w:t>
      </w:r>
      <w:r w:rsidRPr="008F2447">
        <w:rPr>
          <w:rFonts w:asciiTheme="majorBidi" w:hAnsiTheme="majorBidi" w:cstheme="majorBidi"/>
        </w:rPr>
        <w:t>djusted for baseline age, alcohol intake,</w:t>
      </w:r>
      <w:r>
        <w:rPr>
          <w:rFonts w:asciiTheme="majorBidi" w:hAnsiTheme="majorBidi" w:cstheme="majorBidi"/>
        </w:rPr>
        <w:t xml:space="preserve"> </w:t>
      </w:r>
      <w:r w:rsidRPr="008F2447">
        <w:rPr>
          <w:rFonts w:asciiTheme="majorBidi" w:hAnsiTheme="majorBidi" w:cstheme="majorBidi"/>
        </w:rPr>
        <w:t>smoking</w:t>
      </w:r>
      <w:r>
        <w:rPr>
          <w:rFonts w:asciiTheme="majorBidi" w:hAnsiTheme="majorBidi" w:cstheme="majorBidi"/>
        </w:rPr>
        <w:t xml:space="preserve"> status</w:t>
      </w:r>
      <w:r w:rsidRPr="008F2447">
        <w:rPr>
          <w:rFonts w:asciiTheme="majorBidi" w:hAnsiTheme="majorBidi" w:cstheme="majorBidi"/>
        </w:rPr>
        <w:t>,</w:t>
      </w:r>
      <w:r>
        <w:rPr>
          <w:rFonts w:asciiTheme="majorBidi" w:hAnsiTheme="majorBidi" w:cstheme="majorBidi"/>
        </w:rPr>
        <w:t xml:space="preserve"> </w:t>
      </w:r>
      <w:r w:rsidRPr="008F2447">
        <w:rPr>
          <w:rFonts w:asciiTheme="majorBidi" w:hAnsiTheme="majorBidi" w:cstheme="majorBidi"/>
        </w:rPr>
        <w:t xml:space="preserve">physical activity (steps/day), </w:t>
      </w:r>
      <w:r>
        <w:rPr>
          <w:rFonts w:asciiTheme="majorBidi" w:hAnsiTheme="majorBidi" w:cstheme="majorBidi"/>
        </w:rPr>
        <w:t xml:space="preserve">falls risk score </w:t>
      </w:r>
      <w:r w:rsidRPr="008F2447">
        <w:rPr>
          <w:rFonts w:asciiTheme="majorBidi" w:hAnsiTheme="majorBidi" w:cstheme="majorBidi"/>
        </w:rPr>
        <w:t>and self-reported prevalent pain</w:t>
      </w:r>
      <w:r>
        <w:rPr>
          <w:rFonts w:asciiTheme="majorBidi" w:hAnsiTheme="majorBidi" w:cstheme="majorBidi"/>
        </w:rPr>
        <w:t xml:space="preserve"> and number of co-morbidities. </w:t>
      </w:r>
    </w:p>
    <w:p w14:paraId="565DD4ED" w14:textId="77777777" w:rsidR="001E0057" w:rsidRDefault="001E0057">
      <w:pPr>
        <w:rPr>
          <w:rFonts w:ascii="Times New Roman" w:hAnsi="Times New Roman"/>
          <w:b/>
          <w:bCs/>
        </w:rPr>
        <w:sectPr w:rsidR="001E0057" w:rsidSect="00F4381F">
          <w:pgSz w:w="16838" w:h="11906" w:orient="landscape"/>
          <w:pgMar w:top="1440" w:right="1440" w:bottom="1440" w:left="1440" w:header="708" w:footer="708" w:gutter="0"/>
          <w:cols w:space="708"/>
          <w:docGrid w:linePitch="360"/>
        </w:sectPr>
      </w:pPr>
    </w:p>
    <w:p w14:paraId="749C3809" w14:textId="77777777" w:rsidR="001E0057" w:rsidRPr="008F2447" w:rsidRDefault="001E0057" w:rsidP="001E0057">
      <w:pPr>
        <w:pStyle w:val="Caption"/>
        <w:spacing w:line="480" w:lineRule="auto"/>
        <w:rPr>
          <w:rFonts w:asciiTheme="majorBidi" w:hAnsiTheme="majorBidi" w:cstheme="majorBidi"/>
          <w:color w:val="auto"/>
          <w:sz w:val="24"/>
          <w:szCs w:val="24"/>
          <w:lang w:val="en-AU"/>
        </w:rPr>
      </w:pPr>
      <w:r w:rsidRPr="008F2447">
        <w:rPr>
          <w:rFonts w:asciiTheme="majorBidi" w:hAnsiTheme="majorBidi" w:cstheme="majorBidi"/>
          <w:color w:val="auto"/>
          <w:sz w:val="24"/>
          <w:szCs w:val="24"/>
        </w:rPr>
        <w:lastRenderedPageBreak/>
        <w:t xml:space="preserve">Table </w:t>
      </w:r>
      <w:r>
        <w:rPr>
          <w:rFonts w:asciiTheme="majorBidi" w:hAnsiTheme="majorBidi" w:cstheme="majorBidi"/>
          <w:color w:val="auto"/>
          <w:sz w:val="24"/>
          <w:szCs w:val="24"/>
          <w:lang w:val="en-AU"/>
        </w:rPr>
        <w:t>4</w:t>
      </w:r>
      <w:r w:rsidRPr="008F2447">
        <w:rPr>
          <w:rFonts w:asciiTheme="majorBidi" w:hAnsiTheme="majorBidi" w:cstheme="majorBidi"/>
          <w:color w:val="auto"/>
          <w:sz w:val="24"/>
          <w:szCs w:val="24"/>
        </w:rPr>
        <w:t>. Regression coefficients expressing differences in change in BMD (mg/cm</w:t>
      </w:r>
      <w:r w:rsidRPr="008F2447">
        <w:rPr>
          <w:rFonts w:asciiTheme="majorBidi" w:hAnsiTheme="majorBidi" w:cstheme="majorBidi"/>
          <w:color w:val="auto"/>
          <w:sz w:val="24"/>
          <w:szCs w:val="24"/>
          <w:vertAlign w:val="superscript"/>
        </w:rPr>
        <w:t>2</w:t>
      </w:r>
      <w:r w:rsidRPr="008F2447">
        <w:rPr>
          <w:rFonts w:asciiTheme="majorBidi" w:hAnsiTheme="majorBidi" w:cstheme="majorBidi"/>
          <w:color w:val="auto"/>
          <w:sz w:val="24"/>
          <w:szCs w:val="24"/>
        </w:rPr>
        <w:t xml:space="preserve">) from baseline visit to 5-year follow-up according to </w:t>
      </w:r>
      <w:proofErr w:type="spellStart"/>
      <w:r w:rsidRPr="008F2447">
        <w:rPr>
          <w:rFonts w:asciiTheme="majorBidi" w:hAnsiTheme="majorBidi" w:cstheme="majorBidi"/>
          <w:color w:val="auto"/>
          <w:sz w:val="24"/>
          <w:szCs w:val="24"/>
        </w:rPr>
        <w:t>sarcopenic</w:t>
      </w:r>
      <w:proofErr w:type="spellEnd"/>
      <w:r w:rsidRPr="008F2447">
        <w:rPr>
          <w:rFonts w:asciiTheme="majorBidi" w:hAnsiTheme="majorBidi" w:cstheme="majorBidi"/>
          <w:color w:val="auto"/>
          <w:sz w:val="24"/>
          <w:szCs w:val="24"/>
        </w:rPr>
        <w:t xml:space="preserve"> and </w:t>
      </w:r>
      <w:proofErr w:type="spellStart"/>
      <w:r w:rsidRPr="008F2447">
        <w:rPr>
          <w:rFonts w:asciiTheme="majorBidi" w:hAnsiTheme="majorBidi" w:cstheme="majorBidi"/>
          <w:color w:val="auto"/>
          <w:sz w:val="24"/>
          <w:szCs w:val="24"/>
        </w:rPr>
        <w:t>dynapenic</w:t>
      </w:r>
      <w:proofErr w:type="spellEnd"/>
      <w:r w:rsidRPr="008F2447">
        <w:rPr>
          <w:rFonts w:asciiTheme="majorBidi" w:hAnsiTheme="majorBidi" w:cstheme="majorBidi"/>
          <w:color w:val="auto"/>
          <w:sz w:val="24"/>
          <w:szCs w:val="24"/>
        </w:rPr>
        <w:t xml:space="preserve"> obesity categories</w:t>
      </w:r>
      <w:r w:rsidRPr="008F2447">
        <w:rPr>
          <w:rFonts w:asciiTheme="majorBidi" w:hAnsiTheme="majorBidi" w:cstheme="majorBidi"/>
          <w:color w:val="auto"/>
          <w:sz w:val="24"/>
          <w:szCs w:val="24"/>
          <w:lang w:val="en-AU"/>
        </w:rPr>
        <w:t>.</w:t>
      </w:r>
    </w:p>
    <w:tbl>
      <w:tblPr>
        <w:tblStyle w:val="TableGrid"/>
        <w:tblW w:w="0" w:type="auto"/>
        <w:tblLayout w:type="fixed"/>
        <w:tblLook w:val="04A0" w:firstRow="1" w:lastRow="0" w:firstColumn="1" w:lastColumn="0" w:noHBand="0" w:noVBand="1"/>
      </w:tblPr>
      <w:tblGrid>
        <w:gridCol w:w="1550"/>
        <w:gridCol w:w="1550"/>
        <w:gridCol w:w="1550"/>
        <w:gridCol w:w="1550"/>
        <w:gridCol w:w="1550"/>
        <w:gridCol w:w="1430"/>
        <w:gridCol w:w="120"/>
        <w:gridCol w:w="1550"/>
        <w:gridCol w:w="1550"/>
        <w:gridCol w:w="1550"/>
      </w:tblGrid>
      <w:tr w:rsidR="001E0057" w:rsidRPr="008F2447" w14:paraId="39078942" w14:textId="77777777" w:rsidTr="003011AA">
        <w:tc>
          <w:tcPr>
            <w:tcW w:w="13950" w:type="dxa"/>
            <w:gridSpan w:val="10"/>
            <w:tcBorders>
              <w:top w:val="single" w:sz="18" w:space="0" w:color="auto"/>
              <w:left w:val="nil"/>
              <w:bottom w:val="single" w:sz="18" w:space="0" w:color="auto"/>
              <w:right w:val="nil"/>
            </w:tcBorders>
            <w:shd w:val="clear" w:color="000000" w:fill="BFBFBF"/>
            <w:vAlign w:val="center"/>
          </w:tcPr>
          <w:p w14:paraId="281E9A05" w14:textId="77777777" w:rsidR="001E0057" w:rsidRPr="008F2447" w:rsidRDefault="001E0057" w:rsidP="003011AA">
            <w:pPr>
              <w:spacing w:line="480" w:lineRule="auto"/>
              <w:jc w:val="center"/>
              <w:rPr>
                <w:rFonts w:asciiTheme="majorBidi" w:hAnsiTheme="majorBidi" w:cstheme="majorBidi"/>
                <w:b/>
                <w:bCs/>
                <w:i/>
                <w:iCs/>
              </w:rPr>
            </w:pPr>
            <w:r w:rsidRPr="008F2447">
              <w:rPr>
                <w:rFonts w:asciiTheme="majorBidi" w:hAnsiTheme="majorBidi" w:cstheme="majorBidi"/>
                <w:b/>
                <w:bCs/>
                <w:i/>
                <w:iCs/>
              </w:rPr>
              <w:t>Males</w:t>
            </w:r>
          </w:p>
        </w:tc>
      </w:tr>
      <w:tr w:rsidR="001E0057" w:rsidRPr="008F2447" w14:paraId="171CC76D" w14:textId="77777777" w:rsidTr="003011AA">
        <w:tc>
          <w:tcPr>
            <w:tcW w:w="1550" w:type="dxa"/>
            <w:tcBorders>
              <w:top w:val="single" w:sz="18" w:space="0" w:color="auto"/>
              <w:left w:val="nil"/>
              <w:bottom w:val="single" w:sz="18" w:space="0" w:color="auto"/>
            </w:tcBorders>
            <w:shd w:val="clear" w:color="000000" w:fill="BFBFBF"/>
            <w:vAlign w:val="center"/>
          </w:tcPr>
          <w:p w14:paraId="712981D7" w14:textId="77777777" w:rsidR="001E0057" w:rsidRPr="008F2447" w:rsidRDefault="001E0057" w:rsidP="003011AA">
            <w:pPr>
              <w:spacing w:line="480" w:lineRule="auto"/>
              <w:jc w:val="center"/>
              <w:rPr>
                <w:rFonts w:asciiTheme="majorBidi" w:hAnsiTheme="majorBidi" w:cstheme="majorBidi"/>
              </w:rPr>
            </w:pPr>
          </w:p>
        </w:tc>
        <w:tc>
          <w:tcPr>
            <w:tcW w:w="1550" w:type="dxa"/>
            <w:tcBorders>
              <w:top w:val="single" w:sz="18" w:space="0" w:color="auto"/>
              <w:bottom w:val="single" w:sz="18" w:space="0" w:color="auto"/>
              <w:right w:val="single" w:sz="4" w:space="0" w:color="auto"/>
            </w:tcBorders>
            <w:shd w:val="clear" w:color="000000" w:fill="BFBFBF"/>
            <w:vAlign w:val="center"/>
          </w:tcPr>
          <w:p w14:paraId="6066FF47"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non-obese N=170</w:t>
            </w:r>
          </w:p>
        </w:tc>
        <w:tc>
          <w:tcPr>
            <w:tcW w:w="1550" w:type="dxa"/>
            <w:tcBorders>
              <w:top w:val="single" w:sz="18" w:space="0" w:color="auto"/>
              <w:left w:val="single" w:sz="4" w:space="0" w:color="auto"/>
              <w:bottom w:val="single" w:sz="18" w:space="0" w:color="auto"/>
            </w:tcBorders>
            <w:shd w:val="clear" w:color="000000" w:fill="BFBFBF"/>
            <w:vAlign w:val="center"/>
          </w:tcPr>
          <w:p w14:paraId="6A5C2F7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6D95DEE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N=86</w:t>
            </w:r>
          </w:p>
        </w:tc>
        <w:tc>
          <w:tcPr>
            <w:tcW w:w="1550" w:type="dxa"/>
            <w:tcBorders>
              <w:top w:val="single" w:sz="18" w:space="0" w:color="auto"/>
              <w:bottom w:val="single" w:sz="18" w:space="0" w:color="auto"/>
            </w:tcBorders>
            <w:shd w:val="clear" w:color="000000" w:fill="BFBFBF"/>
            <w:vAlign w:val="center"/>
          </w:tcPr>
          <w:p w14:paraId="2995AC6C"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w:t>
            </w:r>
          </w:p>
          <w:p w14:paraId="6E0476F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N=70</w:t>
            </w:r>
          </w:p>
        </w:tc>
        <w:tc>
          <w:tcPr>
            <w:tcW w:w="1550" w:type="dxa"/>
            <w:tcBorders>
              <w:top w:val="single" w:sz="18" w:space="0" w:color="auto"/>
              <w:bottom w:val="single" w:sz="18" w:space="0" w:color="auto"/>
              <w:right w:val="single" w:sz="18" w:space="0" w:color="auto"/>
            </w:tcBorders>
            <w:shd w:val="clear" w:color="000000" w:fill="BFBFBF"/>
            <w:vAlign w:val="center"/>
          </w:tcPr>
          <w:p w14:paraId="3C5593E3"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3A174C7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N=37</w:t>
            </w:r>
          </w:p>
        </w:tc>
        <w:tc>
          <w:tcPr>
            <w:tcW w:w="1430" w:type="dxa"/>
            <w:tcBorders>
              <w:top w:val="single" w:sz="18" w:space="0" w:color="auto"/>
              <w:left w:val="single" w:sz="18" w:space="0" w:color="auto"/>
              <w:bottom w:val="single" w:sz="18" w:space="0" w:color="auto"/>
            </w:tcBorders>
            <w:shd w:val="clear" w:color="000000" w:fill="BFBFBF"/>
            <w:vAlign w:val="center"/>
          </w:tcPr>
          <w:p w14:paraId="2ADE8698"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non-obese N=153</w:t>
            </w:r>
          </w:p>
        </w:tc>
        <w:tc>
          <w:tcPr>
            <w:tcW w:w="1670" w:type="dxa"/>
            <w:gridSpan w:val="2"/>
            <w:tcBorders>
              <w:top w:val="single" w:sz="18" w:space="0" w:color="auto"/>
              <w:bottom w:val="single" w:sz="18" w:space="0" w:color="auto"/>
            </w:tcBorders>
            <w:shd w:val="clear" w:color="000000" w:fill="BFBFBF"/>
            <w:vAlign w:val="center"/>
          </w:tcPr>
          <w:p w14:paraId="35DE429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2AAE999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N=87</w:t>
            </w:r>
          </w:p>
        </w:tc>
        <w:tc>
          <w:tcPr>
            <w:tcW w:w="1550" w:type="dxa"/>
            <w:tcBorders>
              <w:top w:val="single" w:sz="18" w:space="0" w:color="auto"/>
              <w:bottom w:val="single" w:sz="18" w:space="0" w:color="auto"/>
            </w:tcBorders>
            <w:shd w:val="clear" w:color="000000" w:fill="BFBFBF"/>
            <w:vAlign w:val="center"/>
          </w:tcPr>
          <w:p w14:paraId="074708CE"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non-obese N=83</w:t>
            </w:r>
          </w:p>
        </w:tc>
        <w:tc>
          <w:tcPr>
            <w:tcW w:w="1550" w:type="dxa"/>
            <w:tcBorders>
              <w:top w:val="single" w:sz="18" w:space="0" w:color="auto"/>
              <w:bottom w:val="single" w:sz="18" w:space="0" w:color="auto"/>
              <w:right w:val="nil"/>
            </w:tcBorders>
            <w:shd w:val="clear" w:color="000000" w:fill="BFBFBF"/>
            <w:vAlign w:val="center"/>
          </w:tcPr>
          <w:p w14:paraId="4B297D3C"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11B63BB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N=31</w:t>
            </w:r>
          </w:p>
        </w:tc>
      </w:tr>
      <w:tr w:rsidR="001E0057" w:rsidRPr="008F2447" w14:paraId="23CA9CF9" w14:textId="77777777" w:rsidTr="003011AA">
        <w:tc>
          <w:tcPr>
            <w:tcW w:w="1550" w:type="dxa"/>
            <w:tcBorders>
              <w:top w:val="single" w:sz="18" w:space="0" w:color="auto"/>
              <w:left w:val="nil"/>
            </w:tcBorders>
            <w:vAlign w:val="center"/>
          </w:tcPr>
          <w:p w14:paraId="461B571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Hip BMD</w:t>
            </w:r>
          </w:p>
        </w:tc>
        <w:tc>
          <w:tcPr>
            <w:tcW w:w="1550" w:type="dxa"/>
            <w:tcBorders>
              <w:top w:val="single" w:sz="18" w:space="0" w:color="auto"/>
            </w:tcBorders>
            <w:vAlign w:val="center"/>
          </w:tcPr>
          <w:p w14:paraId="21E8296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6289226B"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5</w:t>
            </w:r>
            <w:r w:rsidRPr="008F2447">
              <w:rPr>
                <w:rFonts w:asciiTheme="majorBidi" w:hAnsiTheme="majorBidi" w:cstheme="majorBidi"/>
              </w:rPr>
              <w:t>.</w:t>
            </w:r>
            <w:r>
              <w:rPr>
                <w:rFonts w:asciiTheme="majorBidi" w:hAnsiTheme="majorBidi" w:cstheme="majorBidi"/>
              </w:rPr>
              <w:t>64</w:t>
            </w:r>
            <w:r w:rsidRPr="008F2447">
              <w:rPr>
                <w:rFonts w:asciiTheme="majorBidi" w:hAnsiTheme="majorBidi" w:cstheme="majorBidi"/>
              </w:rPr>
              <w:t xml:space="preserve"> (-</w:t>
            </w:r>
            <w:r>
              <w:rPr>
                <w:rFonts w:asciiTheme="majorBidi" w:hAnsiTheme="majorBidi" w:cstheme="majorBidi"/>
              </w:rPr>
              <w:t>5</w:t>
            </w:r>
            <w:r w:rsidRPr="008F2447">
              <w:rPr>
                <w:rFonts w:asciiTheme="majorBidi" w:hAnsiTheme="majorBidi" w:cstheme="majorBidi"/>
              </w:rPr>
              <w:t>.</w:t>
            </w:r>
            <w:r>
              <w:rPr>
                <w:rFonts w:asciiTheme="majorBidi" w:hAnsiTheme="majorBidi" w:cstheme="majorBidi"/>
              </w:rPr>
              <w:t>71</w:t>
            </w:r>
            <w:r w:rsidRPr="008F2447">
              <w:rPr>
                <w:rFonts w:asciiTheme="majorBidi" w:hAnsiTheme="majorBidi" w:cstheme="majorBidi"/>
              </w:rPr>
              <w:t>, 1</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98</w:t>
            </w:r>
            <w:r w:rsidRPr="008F2447">
              <w:rPr>
                <w:rFonts w:asciiTheme="majorBidi" w:hAnsiTheme="majorBidi" w:cstheme="majorBidi"/>
              </w:rPr>
              <w:t>)</w:t>
            </w:r>
          </w:p>
        </w:tc>
        <w:tc>
          <w:tcPr>
            <w:tcW w:w="1550" w:type="dxa"/>
            <w:tcBorders>
              <w:top w:val="single" w:sz="18" w:space="0" w:color="auto"/>
            </w:tcBorders>
            <w:vAlign w:val="center"/>
          </w:tcPr>
          <w:p w14:paraId="41FA401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36</w:t>
            </w:r>
            <w:r w:rsidRPr="008F2447">
              <w:rPr>
                <w:rFonts w:asciiTheme="majorBidi" w:hAnsiTheme="majorBidi" w:cstheme="majorBidi"/>
              </w:rPr>
              <w:t xml:space="preserve"> (-1</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74</w:t>
            </w:r>
            <w:r w:rsidRPr="008F2447">
              <w:rPr>
                <w:rFonts w:asciiTheme="majorBidi" w:hAnsiTheme="majorBidi" w:cstheme="majorBidi"/>
              </w:rPr>
              <w:t xml:space="preserve">, </w:t>
            </w:r>
            <w:r>
              <w:rPr>
                <w:rFonts w:asciiTheme="majorBidi" w:hAnsiTheme="majorBidi" w:cstheme="majorBidi"/>
              </w:rPr>
              <w:t>10</w:t>
            </w:r>
            <w:r w:rsidRPr="008F2447">
              <w:rPr>
                <w:rFonts w:asciiTheme="majorBidi" w:hAnsiTheme="majorBidi" w:cstheme="majorBidi"/>
              </w:rPr>
              <w:t>.</w:t>
            </w:r>
            <w:r>
              <w:rPr>
                <w:rFonts w:asciiTheme="majorBidi" w:hAnsiTheme="majorBidi" w:cstheme="majorBidi"/>
              </w:rPr>
              <w:t>01</w:t>
            </w:r>
            <w:r w:rsidRPr="008F2447">
              <w:rPr>
                <w:rFonts w:asciiTheme="majorBidi" w:hAnsiTheme="majorBidi" w:cstheme="majorBidi"/>
              </w:rPr>
              <w:t>)</w:t>
            </w:r>
          </w:p>
        </w:tc>
        <w:tc>
          <w:tcPr>
            <w:tcW w:w="1550" w:type="dxa"/>
            <w:tcBorders>
              <w:top w:val="single" w:sz="18" w:space="0" w:color="auto"/>
              <w:right w:val="single" w:sz="18" w:space="0" w:color="auto"/>
            </w:tcBorders>
            <w:vAlign w:val="center"/>
          </w:tcPr>
          <w:p w14:paraId="38793DF8"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78</w:t>
            </w:r>
            <w:r w:rsidRPr="008F2447">
              <w:rPr>
                <w:rFonts w:asciiTheme="majorBidi" w:hAnsiTheme="majorBidi" w:cstheme="majorBidi"/>
              </w:rPr>
              <w:t xml:space="preserve"> (-1</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24</w:t>
            </w:r>
            <w:r w:rsidRPr="008F2447">
              <w:rPr>
                <w:rFonts w:asciiTheme="majorBidi" w:hAnsiTheme="majorBidi" w:cstheme="majorBidi"/>
              </w:rPr>
              <w:t>, 1</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79</w:t>
            </w:r>
            <w:r w:rsidRPr="008F2447">
              <w:rPr>
                <w:rFonts w:asciiTheme="majorBidi" w:hAnsiTheme="majorBidi" w:cstheme="majorBidi"/>
              </w:rPr>
              <w:t>)</w:t>
            </w:r>
          </w:p>
        </w:tc>
        <w:tc>
          <w:tcPr>
            <w:tcW w:w="1430" w:type="dxa"/>
            <w:tcBorders>
              <w:top w:val="single" w:sz="18" w:space="0" w:color="auto"/>
              <w:left w:val="single" w:sz="18" w:space="0" w:color="auto"/>
            </w:tcBorders>
            <w:vAlign w:val="center"/>
          </w:tcPr>
          <w:p w14:paraId="1E4B32D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670" w:type="dxa"/>
            <w:gridSpan w:val="2"/>
            <w:tcBorders>
              <w:top w:val="single" w:sz="18" w:space="0" w:color="auto"/>
            </w:tcBorders>
            <w:vAlign w:val="center"/>
          </w:tcPr>
          <w:p w14:paraId="45EAB447"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8</w:t>
            </w:r>
            <w:r w:rsidRPr="008F2447">
              <w:rPr>
                <w:rFonts w:asciiTheme="majorBidi" w:hAnsiTheme="majorBidi" w:cstheme="majorBidi"/>
              </w:rPr>
              <w:t>.</w:t>
            </w:r>
            <w:r>
              <w:rPr>
                <w:rFonts w:asciiTheme="majorBidi" w:hAnsiTheme="majorBidi" w:cstheme="majorBidi"/>
              </w:rPr>
              <w:t>97</w:t>
            </w:r>
            <w:r w:rsidRPr="008F2447">
              <w:rPr>
                <w:rFonts w:asciiTheme="majorBidi" w:hAnsiTheme="majorBidi" w:cstheme="majorBidi"/>
              </w:rPr>
              <w:t xml:space="preserve"> (-</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65</w:t>
            </w:r>
            <w:r w:rsidRPr="008F2447">
              <w:rPr>
                <w:rFonts w:asciiTheme="majorBidi" w:hAnsiTheme="majorBidi" w:cstheme="majorBidi"/>
              </w:rPr>
              <w:t xml:space="preserve">, </w:t>
            </w:r>
            <w:r>
              <w:rPr>
                <w:rFonts w:asciiTheme="majorBidi" w:hAnsiTheme="majorBidi" w:cstheme="majorBidi"/>
              </w:rPr>
              <w:t>20</w:t>
            </w:r>
            <w:r w:rsidRPr="008F2447">
              <w:rPr>
                <w:rFonts w:asciiTheme="majorBidi" w:hAnsiTheme="majorBidi" w:cstheme="majorBidi"/>
              </w:rPr>
              <w:t>.</w:t>
            </w:r>
            <w:r>
              <w:rPr>
                <w:rFonts w:asciiTheme="majorBidi" w:hAnsiTheme="majorBidi" w:cstheme="majorBidi"/>
              </w:rPr>
              <w:t>60</w:t>
            </w:r>
            <w:r w:rsidRPr="008F2447">
              <w:rPr>
                <w:rFonts w:asciiTheme="majorBidi" w:hAnsiTheme="majorBidi" w:cstheme="majorBidi"/>
              </w:rPr>
              <w:t>)</w:t>
            </w:r>
          </w:p>
        </w:tc>
        <w:tc>
          <w:tcPr>
            <w:tcW w:w="1550" w:type="dxa"/>
            <w:tcBorders>
              <w:top w:val="single" w:sz="18" w:space="0" w:color="auto"/>
            </w:tcBorders>
            <w:vAlign w:val="center"/>
          </w:tcPr>
          <w:p w14:paraId="5812F4E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88</w:t>
            </w:r>
            <w:r w:rsidRPr="008F2447">
              <w:rPr>
                <w:rFonts w:asciiTheme="majorBidi" w:hAnsiTheme="majorBidi" w:cstheme="majorBidi"/>
              </w:rPr>
              <w:t xml:space="preserve"> (-1</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98</w:t>
            </w:r>
            <w:r w:rsidRPr="008F2447">
              <w:rPr>
                <w:rFonts w:asciiTheme="majorBidi" w:hAnsiTheme="majorBidi" w:cstheme="majorBidi"/>
              </w:rPr>
              <w:t xml:space="preserve">, </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22</w:t>
            </w:r>
            <w:r w:rsidRPr="008F2447">
              <w:rPr>
                <w:rFonts w:asciiTheme="majorBidi" w:hAnsiTheme="majorBidi" w:cstheme="majorBidi"/>
              </w:rPr>
              <w:t>)^</w:t>
            </w:r>
          </w:p>
        </w:tc>
        <w:tc>
          <w:tcPr>
            <w:tcW w:w="1550" w:type="dxa"/>
            <w:tcBorders>
              <w:top w:val="single" w:sz="18" w:space="0" w:color="auto"/>
              <w:right w:val="nil"/>
            </w:tcBorders>
            <w:vAlign w:val="center"/>
          </w:tcPr>
          <w:p w14:paraId="6A49944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9</w:t>
            </w:r>
            <w:r w:rsidRPr="008F2447">
              <w:rPr>
                <w:rFonts w:asciiTheme="majorBidi" w:hAnsiTheme="majorBidi" w:cstheme="majorBidi"/>
              </w:rPr>
              <w:t>.</w:t>
            </w:r>
            <w:r>
              <w:rPr>
                <w:rFonts w:asciiTheme="majorBidi" w:hAnsiTheme="majorBidi" w:cstheme="majorBidi"/>
              </w:rPr>
              <w:t>89</w:t>
            </w:r>
            <w:r w:rsidRPr="008F2447">
              <w:rPr>
                <w:rFonts w:asciiTheme="majorBidi" w:hAnsiTheme="majorBidi" w:cstheme="majorBidi"/>
              </w:rPr>
              <w:t xml:space="preserve"> (-2</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33</w:t>
            </w:r>
            <w:r w:rsidRPr="008F2447">
              <w:rPr>
                <w:rFonts w:asciiTheme="majorBidi" w:hAnsiTheme="majorBidi" w:cstheme="majorBidi"/>
              </w:rPr>
              <w:t xml:space="preserve">, </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54</w:t>
            </w:r>
            <w:r w:rsidRPr="008F2447">
              <w:rPr>
                <w:rFonts w:asciiTheme="majorBidi" w:hAnsiTheme="majorBidi" w:cstheme="majorBidi"/>
              </w:rPr>
              <w:t>)^</w:t>
            </w:r>
          </w:p>
        </w:tc>
      </w:tr>
      <w:tr w:rsidR="001E0057" w:rsidRPr="008F2447" w14:paraId="40B1A933" w14:textId="77777777" w:rsidTr="003011AA">
        <w:tc>
          <w:tcPr>
            <w:tcW w:w="1550" w:type="dxa"/>
            <w:tcBorders>
              <w:left w:val="nil"/>
            </w:tcBorders>
            <w:vAlign w:val="center"/>
          </w:tcPr>
          <w:p w14:paraId="2EF4B7E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BMD</w:t>
            </w:r>
          </w:p>
        </w:tc>
        <w:tc>
          <w:tcPr>
            <w:tcW w:w="1550" w:type="dxa"/>
            <w:vAlign w:val="center"/>
          </w:tcPr>
          <w:p w14:paraId="7D3EE7C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vAlign w:val="center"/>
          </w:tcPr>
          <w:p w14:paraId="714EFAEF"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w:t>
            </w:r>
            <w:r w:rsidRPr="008F2447">
              <w:rPr>
                <w:rFonts w:asciiTheme="majorBidi" w:hAnsiTheme="majorBidi" w:cstheme="majorBidi"/>
              </w:rPr>
              <w:t>.</w:t>
            </w:r>
            <w:r>
              <w:rPr>
                <w:rFonts w:asciiTheme="majorBidi" w:hAnsiTheme="majorBidi" w:cstheme="majorBidi"/>
              </w:rPr>
              <w:t xml:space="preserve">05 </w:t>
            </w:r>
            <w:r w:rsidRPr="008F2447">
              <w:rPr>
                <w:rFonts w:asciiTheme="majorBidi" w:hAnsiTheme="majorBidi" w:cstheme="majorBidi"/>
              </w:rPr>
              <w:t>(-1</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64</w:t>
            </w:r>
            <w:r w:rsidRPr="008F2447">
              <w:rPr>
                <w:rFonts w:asciiTheme="majorBidi" w:hAnsiTheme="majorBidi" w:cstheme="majorBidi"/>
              </w:rPr>
              <w:t>, 1</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75</w:t>
            </w:r>
            <w:r w:rsidRPr="008F2447">
              <w:rPr>
                <w:rFonts w:asciiTheme="majorBidi" w:hAnsiTheme="majorBidi" w:cstheme="majorBidi"/>
              </w:rPr>
              <w:t>)</w:t>
            </w:r>
          </w:p>
        </w:tc>
        <w:tc>
          <w:tcPr>
            <w:tcW w:w="1550" w:type="dxa"/>
            <w:vAlign w:val="center"/>
          </w:tcPr>
          <w:p w14:paraId="7DFD98D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69</w:t>
            </w:r>
            <w:r w:rsidRPr="008F2447">
              <w:rPr>
                <w:rFonts w:asciiTheme="majorBidi" w:hAnsiTheme="majorBidi" w:cstheme="majorBidi"/>
              </w:rPr>
              <w:t xml:space="preserve"> (-2</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49</w:t>
            </w:r>
            <w:r w:rsidRPr="008F2447">
              <w:rPr>
                <w:rFonts w:asciiTheme="majorBidi" w:hAnsiTheme="majorBidi" w:cstheme="majorBidi"/>
              </w:rPr>
              <w:t xml:space="preserve">, </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11</w:t>
            </w:r>
            <w:r w:rsidRPr="008F2447">
              <w:rPr>
                <w:rFonts w:asciiTheme="majorBidi" w:hAnsiTheme="majorBidi" w:cstheme="majorBidi"/>
              </w:rPr>
              <w:t>)</w:t>
            </w:r>
          </w:p>
        </w:tc>
        <w:tc>
          <w:tcPr>
            <w:tcW w:w="1550" w:type="dxa"/>
            <w:tcBorders>
              <w:right w:val="single" w:sz="18" w:space="0" w:color="auto"/>
            </w:tcBorders>
            <w:vAlign w:val="center"/>
          </w:tcPr>
          <w:p w14:paraId="04DD26E2"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w:t>
            </w:r>
            <w:r w:rsidRPr="008F2447">
              <w:rPr>
                <w:rFonts w:asciiTheme="majorBidi" w:hAnsiTheme="majorBidi" w:cstheme="majorBidi"/>
              </w:rPr>
              <w:t>.</w:t>
            </w:r>
            <w:r>
              <w:rPr>
                <w:rFonts w:asciiTheme="majorBidi" w:hAnsiTheme="majorBidi" w:cstheme="majorBidi"/>
              </w:rPr>
              <w:t>80</w:t>
            </w:r>
            <w:r w:rsidRPr="008F2447">
              <w:rPr>
                <w:rFonts w:asciiTheme="majorBidi" w:hAnsiTheme="majorBidi" w:cstheme="majorBidi"/>
              </w:rPr>
              <w:t xml:space="preserve"> (-18.</w:t>
            </w:r>
            <w:r>
              <w:rPr>
                <w:rFonts w:asciiTheme="majorBidi" w:hAnsiTheme="majorBidi" w:cstheme="majorBidi"/>
              </w:rPr>
              <w:t>65</w:t>
            </w:r>
            <w:r w:rsidRPr="008F2447">
              <w:rPr>
                <w:rFonts w:asciiTheme="majorBidi" w:hAnsiTheme="majorBidi" w:cstheme="majorBidi"/>
              </w:rPr>
              <w:t xml:space="preserve">, </w:t>
            </w:r>
            <w:r>
              <w:rPr>
                <w:rFonts w:asciiTheme="majorBidi" w:hAnsiTheme="majorBidi" w:cstheme="majorBidi"/>
              </w:rPr>
              <w:t>20</w:t>
            </w:r>
            <w:r w:rsidRPr="008F2447">
              <w:rPr>
                <w:rFonts w:asciiTheme="majorBidi" w:hAnsiTheme="majorBidi" w:cstheme="majorBidi"/>
              </w:rPr>
              <w:t>.</w:t>
            </w:r>
            <w:r>
              <w:rPr>
                <w:rFonts w:asciiTheme="majorBidi" w:hAnsiTheme="majorBidi" w:cstheme="majorBidi"/>
              </w:rPr>
              <w:t>25</w:t>
            </w:r>
            <w:r w:rsidRPr="008F2447">
              <w:rPr>
                <w:rFonts w:asciiTheme="majorBidi" w:hAnsiTheme="majorBidi" w:cstheme="majorBidi"/>
              </w:rPr>
              <w:t>)</w:t>
            </w:r>
          </w:p>
        </w:tc>
        <w:tc>
          <w:tcPr>
            <w:tcW w:w="1430" w:type="dxa"/>
            <w:tcBorders>
              <w:left w:val="single" w:sz="18" w:space="0" w:color="auto"/>
            </w:tcBorders>
            <w:vAlign w:val="center"/>
          </w:tcPr>
          <w:p w14:paraId="3329573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670" w:type="dxa"/>
            <w:gridSpan w:val="2"/>
            <w:vAlign w:val="center"/>
          </w:tcPr>
          <w:p w14:paraId="540290EC"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w:t>
            </w:r>
            <w:r w:rsidRPr="008F2447">
              <w:rPr>
                <w:rFonts w:asciiTheme="majorBidi" w:hAnsiTheme="majorBidi" w:cstheme="majorBidi"/>
              </w:rPr>
              <w:t>.</w:t>
            </w:r>
            <w:r>
              <w:rPr>
                <w:rFonts w:asciiTheme="majorBidi" w:hAnsiTheme="majorBidi" w:cstheme="majorBidi"/>
              </w:rPr>
              <w:t>62</w:t>
            </w:r>
            <w:r w:rsidRPr="008F2447">
              <w:rPr>
                <w:rFonts w:asciiTheme="majorBidi" w:hAnsiTheme="majorBidi" w:cstheme="majorBidi"/>
              </w:rPr>
              <w:t>(-1</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68</w:t>
            </w:r>
            <w:r w:rsidRPr="008F2447">
              <w:rPr>
                <w:rFonts w:asciiTheme="majorBidi" w:hAnsiTheme="majorBidi" w:cstheme="majorBidi"/>
              </w:rPr>
              <w:t>, 1</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93</w:t>
            </w:r>
            <w:r w:rsidRPr="008F2447">
              <w:rPr>
                <w:rFonts w:asciiTheme="majorBidi" w:hAnsiTheme="majorBidi" w:cstheme="majorBidi"/>
              </w:rPr>
              <w:t>)</w:t>
            </w:r>
          </w:p>
        </w:tc>
        <w:tc>
          <w:tcPr>
            <w:tcW w:w="1550" w:type="dxa"/>
            <w:vAlign w:val="center"/>
          </w:tcPr>
          <w:p w14:paraId="017E885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49</w:t>
            </w:r>
            <w:r w:rsidRPr="008F2447">
              <w:rPr>
                <w:rFonts w:asciiTheme="majorBidi" w:hAnsiTheme="majorBidi" w:cstheme="majorBidi"/>
              </w:rPr>
              <w:t xml:space="preserve"> (-</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72</w:t>
            </w:r>
            <w:r w:rsidRPr="008F2447">
              <w:rPr>
                <w:rFonts w:asciiTheme="majorBidi" w:hAnsiTheme="majorBidi" w:cstheme="majorBidi"/>
              </w:rPr>
              <w:t>, 2</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69</w:t>
            </w:r>
            <w:r w:rsidRPr="008F2447">
              <w:rPr>
                <w:rFonts w:asciiTheme="majorBidi" w:hAnsiTheme="majorBidi" w:cstheme="majorBidi"/>
              </w:rPr>
              <w:t>)</w:t>
            </w:r>
          </w:p>
        </w:tc>
        <w:tc>
          <w:tcPr>
            <w:tcW w:w="1550" w:type="dxa"/>
            <w:tcBorders>
              <w:right w:val="nil"/>
            </w:tcBorders>
            <w:vAlign w:val="center"/>
          </w:tcPr>
          <w:p w14:paraId="6E40A2C7"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5</w:t>
            </w:r>
            <w:r w:rsidRPr="008F2447">
              <w:rPr>
                <w:rFonts w:asciiTheme="majorBidi" w:hAnsiTheme="majorBidi" w:cstheme="majorBidi"/>
              </w:rPr>
              <w:t>.</w:t>
            </w:r>
            <w:r>
              <w:rPr>
                <w:rFonts w:asciiTheme="majorBidi" w:hAnsiTheme="majorBidi" w:cstheme="majorBidi"/>
              </w:rPr>
              <w:t>83</w:t>
            </w:r>
            <w:r w:rsidRPr="008F2447">
              <w:rPr>
                <w:rFonts w:asciiTheme="majorBidi" w:hAnsiTheme="majorBidi" w:cstheme="majorBidi"/>
              </w:rPr>
              <w:t xml:space="preserve"> (-14.</w:t>
            </w:r>
            <w:r>
              <w:rPr>
                <w:rFonts w:asciiTheme="majorBidi" w:hAnsiTheme="majorBidi" w:cstheme="majorBidi"/>
              </w:rPr>
              <w:t>41</w:t>
            </w:r>
            <w:r w:rsidRPr="008F2447">
              <w:rPr>
                <w:rFonts w:asciiTheme="majorBidi" w:hAnsiTheme="majorBidi" w:cstheme="majorBidi"/>
              </w:rPr>
              <w:t>, 2</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08</w:t>
            </w:r>
            <w:r w:rsidRPr="008F2447">
              <w:rPr>
                <w:rFonts w:asciiTheme="majorBidi" w:hAnsiTheme="majorBidi" w:cstheme="majorBidi"/>
              </w:rPr>
              <w:t>)</w:t>
            </w:r>
          </w:p>
        </w:tc>
      </w:tr>
      <w:tr w:rsidR="001E0057" w:rsidRPr="008F2447" w14:paraId="3285085F" w14:textId="77777777" w:rsidTr="003011AA">
        <w:tc>
          <w:tcPr>
            <w:tcW w:w="1550" w:type="dxa"/>
            <w:tcBorders>
              <w:left w:val="nil"/>
              <w:bottom w:val="single" w:sz="18" w:space="0" w:color="auto"/>
            </w:tcBorders>
            <w:vAlign w:val="center"/>
          </w:tcPr>
          <w:p w14:paraId="7AB4E71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Body BMD</w:t>
            </w:r>
          </w:p>
        </w:tc>
        <w:tc>
          <w:tcPr>
            <w:tcW w:w="1550" w:type="dxa"/>
            <w:tcBorders>
              <w:bottom w:val="single" w:sz="18" w:space="0" w:color="auto"/>
            </w:tcBorders>
            <w:vAlign w:val="center"/>
          </w:tcPr>
          <w:p w14:paraId="0913185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3C9A2636"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5</w:t>
            </w:r>
            <w:r w:rsidRPr="008F2447">
              <w:rPr>
                <w:rFonts w:asciiTheme="majorBidi" w:hAnsiTheme="majorBidi" w:cstheme="majorBidi"/>
              </w:rPr>
              <w:t>.</w:t>
            </w:r>
            <w:r>
              <w:rPr>
                <w:rFonts w:asciiTheme="majorBidi" w:hAnsiTheme="majorBidi" w:cstheme="majorBidi"/>
              </w:rPr>
              <w:t>45</w:t>
            </w:r>
            <w:r w:rsidRPr="008F2447">
              <w:rPr>
                <w:rFonts w:asciiTheme="majorBidi" w:hAnsiTheme="majorBidi" w:cstheme="majorBidi"/>
              </w:rPr>
              <w:t xml:space="preserve"> (-</w:t>
            </w:r>
            <w:r>
              <w:rPr>
                <w:rFonts w:asciiTheme="majorBidi" w:hAnsiTheme="majorBidi" w:cstheme="majorBidi"/>
              </w:rPr>
              <w:t>42</w:t>
            </w:r>
            <w:r w:rsidRPr="008F2447">
              <w:rPr>
                <w:rFonts w:asciiTheme="majorBidi" w:hAnsiTheme="majorBidi" w:cstheme="majorBidi"/>
              </w:rPr>
              <w:t>.</w:t>
            </w:r>
            <w:r>
              <w:rPr>
                <w:rFonts w:asciiTheme="majorBidi" w:hAnsiTheme="majorBidi" w:cstheme="majorBidi"/>
              </w:rPr>
              <w:t>97</w:t>
            </w:r>
            <w:r w:rsidRPr="008F2447">
              <w:rPr>
                <w:rFonts w:asciiTheme="majorBidi" w:hAnsiTheme="majorBidi" w:cstheme="majorBidi"/>
              </w:rPr>
              <w:t xml:space="preserve">, </w:t>
            </w:r>
            <w:r>
              <w:rPr>
                <w:rFonts w:asciiTheme="majorBidi" w:hAnsiTheme="majorBidi" w:cstheme="majorBidi"/>
              </w:rPr>
              <w:t>32</w:t>
            </w:r>
            <w:r w:rsidRPr="008F2447">
              <w:rPr>
                <w:rFonts w:asciiTheme="majorBidi" w:hAnsiTheme="majorBidi" w:cstheme="majorBidi"/>
              </w:rPr>
              <w:t>.</w:t>
            </w:r>
            <w:r>
              <w:rPr>
                <w:rFonts w:asciiTheme="majorBidi" w:hAnsiTheme="majorBidi" w:cstheme="majorBidi"/>
              </w:rPr>
              <w:t>07</w:t>
            </w:r>
            <w:r w:rsidRPr="008F2447">
              <w:rPr>
                <w:rFonts w:asciiTheme="majorBidi" w:hAnsiTheme="majorBidi" w:cstheme="majorBidi"/>
              </w:rPr>
              <w:t>)</w:t>
            </w:r>
          </w:p>
        </w:tc>
        <w:tc>
          <w:tcPr>
            <w:tcW w:w="1550" w:type="dxa"/>
            <w:tcBorders>
              <w:bottom w:val="single" w:sz="18" w:space="0" w:color="auto"/>
            </w:tcBorders>
            <w:vAlign w:val="center"/>
          </w:tcPr>
          <w:p w14:paraId="00B8C69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14</w:t>
            </w:r>
            <w:r w:rsidRPr="008F2447">
              <w:rPr>
                <w:rFonts w:asciiTheme="majorBidi" w:hAnsiTheme="majorBidi" w:cstheme="majorBidi"/>
              </w:rPr>
              <w:t>.</w:t>
            </w:r>
            <w:r>
              <w:rPr>
                <w:rFonts w:asciiTheme="majorBidi" w:hAnsiTheme="majorBidi" w:cstheme="majorBidi"/>
              </w:rPr>
              <w:t>09</w:t>
            </w:r>
            <w:r w:rsidRPr="008F2447">
              <w:rPr>
                <w:rFonts w:asciiTheme="majorBidi" w:hAnsiTheme="majorBidi" w:cstheme="majorBidi"/>
              </w:rPr>
              <w:t xml:space="preserve"> (-</w:t>
            </w:r>
            <w:r>
              <w:rPr>
                <w:rFonts w:asciiTheme="majorBidi" w:hAnsiTheme="majorBidi" w:cstheme="majorBidi"/>
              </w:rPr>
              <w:t>26</w:t>
            </w:r>
            <w:r w:rsidRPr="008F2447">
              <w:rPr>
                <w:rFonts w:asciiTheme="majorBidi" w:hAnsiTheme="majorBidi" w:cstheme="majorBidi"/>
              </w:rPr>
              <w:t>.</w:t>
            </w:r>
            <w:r>
              <w:rPr>
                <w:rFonts w:asciiTheme="majorBidi" w:hAnsiTheme="majorBidi" w:cstheme="majorBidi"/>
              </w:rPr>
              <w:t>76</w:t>
            </w:r>
            <w:r w:rsidRPr="008F2447">
              <w:rPr>
                <w:rFonts w:asciiTheme="majorBidi" w:hAnsiTheme="majorBidi" w:cstheme="majorBidi"/>
              </w:rPr>
              <w:t xml:space="preserve">, </w:t>
            </w:r>
            <w:r>
              <w:rPr>
                <w:rFonts w:asciiTheme="majorBidi" w:hAnsiTheme="majorBidi" w:cstheme="majorBidi"/>
              </w:rPr>
              <w:t>54</w:t>
            </w:r>
            <w:r w:rsidRPr="008F2447">
              <w:rPr>
                <w:rFonts w:asciiTheme="majorBidi" w:hAnsiTheme="majorBidi" w:cstheme="majorBidi"/>
              </w:rPr>
              <w:t>.</w:t>
            </w:r>
            <w:r>
              <w:rPr>
                <w:rFonts w:asciiTheme="majorBidi" w:hAnsiTheme="majorBidi" w:cstheme="majorBidi"/>
              </w:rPr>
              <w:t>94</w:t>
            </w:r>
            <w:r w:rsidRPr="008F2447">
              <w:rPr>
                <w:rFonts w:asciiTheme="majorBidi" w:hAnsiTheme="majorBidi" w:cstheme="majorBidi"/>
              </w:rPr>
              <w:t>)</w:t>
            </w:r>
          </w:p>
        </w:tc>
        <w:tc>
          <w:tcPr>
            <w:tcW w:w="1550" w:type="dxa"/>
            <w:tcBorders>
              <w:bottom w:val="single" w:sz="18" w:space="0" w:color="auto"/>
              <w:right w:val="single" w:sz="18" w:space="0" w:color="auto"/>
            </w:tcBorders>
            <w:vAlign w:val="center"/>
          </w:tcPr>
          <w:p w14:paraId="4BA6D0E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39</w:t>
            </w:r>
            <w:r w:rsidRPr="008F2447">
              <w:rPr>
                <w:rFonts w:asciiTheme="majorBidi" w:hAnsiTheme="majorBidi" w:cstheme="majorBidi"/>
              </w:rPr>
              <w:t xml:space="preserve"> (-</w:t>
            </w:r>
            <w:r>
              <w:rPr>
                <w:rFonts w:asciiTheme="majorBidi" w:hAnsiTheme="majorBidi" w:cstheme="majorBidi"/>
              </w:rPr>
              <w:t>60</w:t>
            </w:r>
            <w:r w:rsidRPr="008F2447">
              <w:rPr>
                <w:rFonts w:asciiTheme="majorBidi" w:hAnsiTheme="majorBidi" w:cstheme="majorBidi"/>
              </w:rPr>
              <w:t>.</w:t>
            </w:r>
            <w:r>
              <w:rPr>
                <w:rFonts w:asciiTheme="majorBidi" w:hAnsiTheme="majorBidi" w:cstheme="majorBidi"/>
              </w:rPr>
              <w:t>79</w:t>
            </w:r>
            <w:r w:rsidRPr="008F2447">
              <w:rPr>
                <w:rFonts w:asciiTheme="majorBidi" w:hAnsiTheme="majorBidi" w:cstheme="majorBidi"/>
              </w:rPr>
              <w:t>, 4</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01</w:t>
            </w:r>
            <w:r w:rsidRPr="008F2447">
              <w:rPr>
                <w:rFonts w:asciiTheme="majorBidi" w:hAnsiTheme="majorBidi" w:cstheme="majorBidi"/>
              </w:rPr>
              <w:t>)</w:t>
            </w:r>
          </w:p>
        </w:tc>
        <w:tc>
          <w:tcPr>
            <w:tcW w:w="1430" w:type="dxa"/>
            <w:tcBorders>
              <w:left w:val="single" w:sz="18" w:space="0" w:color="auto"/>
              <w:bottom w:val="single" w:sz="18" w:space="0" w:color="auto"/>
            </w:tcBorders>
            <w:vAlign w:val="center"/>
          </w:tcPr>
          <w:p w14:paraId="59A88C5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670" w:type="dxa"/>
            <w:gridSpan w:val="2"/>
            <w:tcBorders>
              <w:bottom w:val="single" w:sz="18" w:space="0" w:color="auto"/>
            </w:tcBorders>
            <w:vAlign w:val="center"/>
          </w:tcPr>
          <w:p w14:paraId="321D2F9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08</w:t>
            </w:r>
            <w:r w:rsidRPr="008F2447">
              <w:rPr>
                <w:rFonts w:asciiTheme="majorBidi" w:hAnsiTheme="majorBidi" w:cstheme="majorBidi"/>
              </w:rPr>
              <w:t xml:space="preserve"> (-2</w:t>
            </w:r>
            <w:r>
              <w:rPr>
                <w:rFonts w:asciiTheme="majorBidi" w:hAnsiTheme="majorBidi" w:cstheme="majorBidi"/>
              </w:rPr>
              <w:t>8</w:t>
            </w:r>
            <w:r w:rsidRPr="008F2447">
              <w:rPr>
                <w:rFonts w:asciiTheme="majorBidi" w:hAnsiTheme="majorBidi" w:cstheme="majorBidi"/>
              </w:rPr>
              <w:t>.</w:t>
            </w:r>
            <w:r>
              <w:rPr>
                <w:rFonts w:asciiTheme="majorBidi" w:hAnsiTheme="majorBidi" w:cstheme="majorBidi"/>
              </w:rPr>
              <w:t>67</w:t>
            </w:r>
            <w:r w:rsidRPr="008F2447">
              <w:rPr>
                <w:rFonts w:asciiTheme="majorBidi" w:hAnsiTheme="majorBidi" w:cstheme="majorBidi"/>
              </w:rPr>
              <w:t xml:space="preserve">, </w:t>
            </w:r>
            <w:r>
              <w:rPr>
                <w:rFonts w:asciiTheme="majorBidi" w:hAnsiTheme="majorBidi" w:cstheme="majorBidi"/>
              </w:rPr>
              <w:t>20</w:t>
            </w:r>
            <w:r w:rsidRPr="008F2447">
              <w:rPr>
                <w:rFonts w:asciiTheme="majorBidi" w:hAnsiTheme="majorBidi" w:cstheme="majorBidi"/>
              </w:rPr>
              <w:t>.</w:t>
            </w:r>
            <w:r>
              <w:rPr>
                <w:rFonts w:asciiTheme="majorBidi" w:hAnsiTheme="majorBidi" w:cstheme="majorBidi"/>
              </w:rPr>
              <w:t>51</w:t>
            </w:r>
            <w:r w:rsidRPr="008F2447">
              <w:rPr>
                <w:rFonts w:asciiTheme="majorBidi" w:hAnsiTheme="majorBidi" w:cstheme="majorBidi"/>
              </w:rPr>
              <w:t>)</w:t>
            </w:r>
          </w:p>
        </w:tc>
        <w:tc>
          <w:tcPr>
            <w:tcW w:w="1550" w:type="dxa"/>
            <w:tcBorders>
              <w:bottom w:val="single" w:sz="18" w:space="0" w:color="auto"/>
            </w:tcBorders>
            <w:vAlign w:val="center"/>
          </w:tcPr>
          <w:p w14:paraId="24B8687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27</w:t>
            </w:r>
            <w:r w:rsidRPr="008F2447">
              <w:rPr>
                <w:rFonts w:asciiTheme="majorBidi" w:hAnsiTheme="majorBidi" w:cstheme="majorBidi"/>
              </w:rPr>
              <w:t>.</w:t>
            </w:r>
            <w:r>
              <w:rPr>
                <w:rFonts w:asciiTheme="majorBidi" w:hAnsiTheme="majorBidi" w:cstheme="majorBidi"/>
              </w:rPr>
              <w:t>46</w:t>
            </w:r>
            <w:r w:rsidRPr="008F2447">
              <w:rPr>
                <w:rFonts w:asciiTheme="majorBidi" w:hAnsiTheme="majorBidi" w:cstheme="majorBidi"/>
              </w:rPr>
              <w:t xml:space="preserve"> (-</w:t>
            </w:r>
            <w:r>
              <w:rPr>
                <w:rFonts w:asciiTheme="majorBidi" w:hAnsiTheme="majorBidi" w:cstheme="majorBidi"/>
              </w:rPr>
              <w:t>53</w:t>
            </w:r>
            <w:r w:rsidRPr="008F2447">
              <w:rPr>
                <w:rFonts w:asciiTheme="majorBidi" w:hAnsiTheme="majorBidi" w:cstheme="majorBidi"/>
              </w:rPr>
              <w:t>.</w:t>
            </w:r>
            <w:r>
              <w:rPr>
                <w:rFonts w:asciiTheme="majorBidi" w:hAnsiTheme="majorBidi" w:cstheme="majorBidi"/>
              </w:rPr>
              <w:t>37</w:t>
            </w:r>
            <w:r w:rsidRPr="008F2447">
              <w:rPr>
                <w:rFonts w:asciiTheme="majorBidi" w:hAnsiTheme="majorBidi" w:cstheme="majorBidi"/>
              </w:rPr>
              <w:t xml:space="preserve">, </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55</w:t>
            </w:r>
            <w:r w:rsidRPr="008F2447">
              <w:rPr>
                <w:rFonts w:asciiTheme="majorBidi" w:hAnsiTheme="majorBidi" w:cstheme="majorBidi"/>
              </w:rPr>
              <w:t>)</w:t>
            </w:r>
            <w:r>
              <w:rPr>
                <w:rFonts w:asciiTheme="majorBidi" w:hAnsiTheme="majorBidi" w:cstheme="majorBidi"/>
              </w:rPr>
              <w:t>*</w:t>
            </w:r>
          </w:p>
        </w:tc>
        <w:tc>
          <w:tcPr>
            <w:tcW w:w="1550" w:type="dxa"/>
            <w:tcBorders>
              <w:bottom w:val="single" w:sz="18" w:space="0" w:color="auto"/>
              <w:right w:val="nil"/>
            </w:tcBorders>
            <w:vAlign w:val="center"/>
          </w:tcPr>
          <w:p w14:paraId="518D3DB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9</w:t>
            </w:r>
            <w:r w:rsidRPr="008F2447">
              <w:rPr>
                <w:rFonts w:asciiTheme="majorBidi" w:hAnsiTheme="majorBidi" w:cstheme="majorBidi"/>
              </w:rPr>
              <w:t>.</w:t>
            </w:r>
            <w:r>
              <w:rPr>
                <w:rFonts w:asciiTheme="majorBidi" w:hAnsiTheme="majorBidi" w:cstheme="majorBidi"/>
              </w:rPr>
              <w:t>38</w:t>
            </w:r>
            <w:r w:rsidRPr="008F2447">
              <w:rPr>
                <w:rFonts w:asciiTheme="majorBidi" w:hAnsiTheme="majorBidi" w:cstheme="majorBidi"/>
              </w:rPr>
              <w:t xml:space="preserve"> (-</w:t>
            </w:r>
            <w:r>
              <w:rPr>
                <w:rFonts w:asciiTheme="majorBidi" w:hAnsiTheme="majorBidi" w:cstheme="majorBidi"/>
              </w:rPr>
              <w:t>46</w:t>
            </w:r>
            <w:r w:rsidRPr="008F2447">
              <w:rPr>
                <w:rFonts w:asciiTheme="majorBidi" w:hAnsiTheme="majorBidi" w:cstheme="majorBidi"/>
              </w:rPr>
              <w:t>.</w:t>
            </w:r>
            <w:r>
              <w:rPr>
                <w:rFonts w:asciiTheme="majorBidi" w:hAnsiTheme="majorBidi" w:cstheme="majorBidi"/>
              </w:rPr>
              <w:t>89</w:t>
            </w:r>
            <w:r w:rsidRPr="008F2447">
              <w:rPr>
                <w:rFonts w:asciiTheme="majorBidi" w:hAnsiTheme="majorBidi" w:cstheme="majorBidi"/>
              </w:rPr>
              <w:t>, 2</w:t>
            </w:r>
            <w:r>
              <w:rPr>
                <w:rFonts w:asciiTheme="majorBidi" w:hAnsiTheme="majorBidi" w:cstheme="majorBidi"/>
              </w:rPr>
              <w:t>8</w:t>
            </w:r>
            <w:r w:rsidRPr="008F2447">
              <w:rPr>
                <w:rFonts w:asciiTheme="majorBidi" w:hAnsiTheme="majorBidi" w:cstheme="majorBidi"/>
              </w:rPr>
              <w:t>.</w:t>
            </w:r>
            <w:r>
              <w:rPr>
                <w:rFonts w:asciiTheme="majorBidi" w:hAnsiTheme="majorBidi" w:cstheme="majorBidi"/>
              </w:rPr>
              <w:t>13</w:t>
            </w:r>
            <w:r w:rsidRPr="008F2447">
              <w:rPr>
                <w:rFonts w:asciiTheme="majorBidi" w:hAnsiTheme="majorBidi" w:cstheme="majorBidi"/>
              </w:rPr>
              <w:t>)</w:t>
            </w:r>
          </w:p>
        </w:tc>
      </w:tr>
      <w:tr w:rsidR="001E0057" w:rsidRPr="008F2447" w14:paraId="4E0A287C" w14:textId="77777777" w:rsidTr="003011AA">
        <w:tc>
          <w:tcPr>
            <w:tcW w:w="13950" w:type="dxa"/>
            <w:gridSpan w:val="10"/>
            <w:tcBorders>
              <w:top w:val="single" w:sz="18" w:space="0" w:color="auto"/>
              <w:left w:val="nil"/>
              <w:bottom w:val="single" w:sz="18" w:space="0" w:color="auto"/>
              <w:right w:val="nil"/>
            </w:tcBorders>
            <w:shd w:val="clear" w:color="000000" w:fill="BFBFBF"/>
            <w:vAlign w:val="center"/>
          </w:tcPr>
          <w:p w14:paraId="349EE028" w14:textId="77777777" w:rsidR="001E0057" w:rsidRPr="008F2447" w:rsidRDefault="001E0057" w:rsidP="003011AA">
            <w:pPr>
              <w:spacing w:line="480" w:lineRule="auto"/>
              <w:jc w:val="center"/>
              <w:rPr>
                <w:rFonts w:asciiTheme="majorBidi" w:hAnsiTheme="majorBidi" w:cstheme="majorBidi"/>
                <w:b/>
                <w:bCs/>
                <w:i/>
                <w:iCs/>
              </w:rPr>
            </w:pPr>
            <w:r w:rsidRPr="008F2447">
              <w:rPr>
                <w:rFonts w:asciiTheme="majorBidi" w:hAnsiTheme="majorBidi" w:cstheme="majorBidi"/>
                <w:b/>
                <w:bCs/>
                <w:i/>
                <w:iCs/>
              </w:rPr>
              <w:t>Females</w:t>
            </w:r>
          </w:p>
        </w:tc>
      </w:tr>
      <w:tr w:rsidR="001E0057" w:rsidRPr="008F2447" w14:paraId="5A83FE61" w14:textId="77777777" w:rsidTr="003011AA">
        <w:tc>
          <w:tcPr>
            <w:tcW w:w="1550" w:type="dxa"/>
            <w:tcBorders>
              <w:top w:val="single" w:sz="18" w:space="0" w:color="auto"/>
              <w:left w:val="nil"/>
              <w:bottom w:val="single" w:sz="18" w:space="0" w:color="auto"/>
            </w:tcBorders>
            <w:shd w:val="clear" w:color="000000" w:fill="BFBFBF"/>
            <w:vAlign w:val="center"/>
          </w:tcPr>
          <w:p w14:paraId="76C00199" w14:textId="77777777" w:rsidR="001E0057" w:rsidRPr="008F2447" w:rsidRDefault="001E0057" w:rsidP="003011AA">
            <w:pPr>
              <w:spacing w:line="480" w:lineRule="auto"/>
              <w:jc w:val="center"/>
              <w:rPr>
                <w:rFonts w:asciiTheme="majorBidi" w:hAnsiTheme="majorBidi" w:cstheme="majorBidi"/>
              </w:rPr>
            </w:pPr>
          </w:p>
        </w:tc>
        <w:tc>
          <w:tcPr>
            <w:tcW w:w="1550" w:type="dxa"/>
            <w:tcBorders>
              <w:top w:val="single" w:sz="18" w:space="0" w:color="auto"/>
              <w:bottom w:val="single" w:sz="18" w:space="0" w:color="auto"/>
            </w:tcBorders>
            <w:shd w:val="clear" w:color="000000" w:fill="BFBFBF"/>
            <w:vAlign w:val="center"/>
          </w:tcPr>
          <w:p w14:paraId="3F0A41A5"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non-obese N=157</w:t>
            </w:r>
          </w:p>
        </w:tc>
        <w:tc>
          <w:tcPr>
            <w:tcW w:w="1550" w:type="dxa"/>
            <w:tcBorders>
              <w:top w:val="single" w:sz="18" w:space="0" w:color="auto"/>
              <w:bottom w:val="single" w:sz="18" w:space="0" w:color="auto"/>
            </w:tcBorders>
            <w:shd w:val="clear" w:color="000000" w:fill="BFBFBF"/>
            <w:vAlign w:val="center"/>
          </w:tcPr>
          <w:p w14:paraId="0785228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198B12E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N=98</w:t>
            </w:r>
          </w:p>
        </w:tc>
        <w:tc>
          <w:tcPr>
            <w:tcW w:w="1550" w:type="dxa"/>
            <w:tcBorders>
              <w:top w:val="single" w:sz="18" w:space="0" w:color="auto"/>
              <w:bottom w:val="single" w:sz="18" w:space="0" w:color="auto"/>
            </w:tcBorders>
            <w:shd w:val="clear" w:color="000000" w:fill="BFBFBF"/>
            <w:vAlign w:val="center"/>
          </w:tcPr>
          <w:p w14:paraId="0760EAAF"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non-obese N=77</w:t>
            </w:r>
          </w:p>
        </w:tc>
        <w:tc>
          <w:tcPr>
            <w:tcW w:w="1550" w:type="dxa"/>
            <w:tcBorders>
              <w:top w:val="single" w:sz="18" w:space="0" w:color="auto"/>
              <w:bottom w:val="single" w:sz="18" w:space="0" w:color="auto"/>
              <w:right w:val="single" w:sz="18" w:space="0" w:color="auto"/>
            </w:tcBorders>
            <w:shd w:val="clear" w:color="000000" w:fill="BFBFBF"/>
            <w:vAlign w:val="center"/>
          </w:tcPr>
          <w:p w14:paraId="2C17E8FB"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2C51C1D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N=34</w:t>
            </w:r>
          </w:p>
        </w:tc>
        <w:tc>
          <w:tcPr>
            <w:tcW w:w="1550" w:type="dxa"/>
            <w:gridSpan w:val="2"/>
            <w:tcBorders>
              <w:top w:val="single" w:sz="18" w:space="0" w:color="auto"/>
              <w:left w:val="single" w:sz="18" w:space="0" w:color="auto"/>
              <w:bottom w:val="single" w:sz="18" w:space="0" w:color="auto"/>
            </w:tcBorders>
            <w:shd w:val="clear" w:color="000000" w:fill="BFBFBF"/>
            <w:vAlign w:val="center"/>
          </w:tcPr>
          <w:p w14:paraId="578755F0"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non-obese N=158</w:t>
            </w:r>
          </w:p>
        </w:tc>
        <w:tc>
          <w:tcPr>
            <w:tcW w:w="1550" w:type="dxa"/>
            <w:tcBorders>
              <w:top w:val="single" w:sz="18" w:space="0" w:color="auto"/>
              <w:bottom w:val="single" w:sz="18" w:space="0" w:color="auto"/>
            </w:tcBorders>
            <w:shd w:val="clear" w:color="000000" w:fill="BFBFBF"/>
            <w:vAlign w:val="center"/>
          </w:tcPr>
          <w:p w14:paraId="7DF8AE6D"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48488E6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N=73</w:t>
            </w:r>
          </w:p>
        </w:tc>
        <w:tc>
          <w:tcPr>
            <w:tcW w:w="1550" w:type="dxa"/>
            <w:tcBorders>
              <w:top w:val="single" w:sz="18" w:space="0" w:color="auto"/>
              <w:bottom w:val="single" w:sz="18" w:space="0" w:color="auto"/>
            </w:tcBorders>
            <w:shd w:val="clear" w:color="000000" w:fill="BFBFBF"/>
            <w:vAlign w:val="center"/>
          </w:tcPr>
          <w:p w14:paraId="228CA4C5"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non-obese N=71</w:t>
            </w:r>
          </w:p>
        </w:tc>
        <w:tc>
          <w:tcPr>
            <w:tcW w:w="1550" w:type="dxa"/>
            <w:tcBorders>
              <w:top w:val="single" w:sz="18" w:space="0" w:color="auto"/>
              <w:bottom w:val="single" w:sz="18" w:space="0" w:color="auto"/>
              <w:right w:val="nil"/>
            </w:tcBorders>
            <w:shd w:val="clear" w:color="000000" w:fill="BFBFBF"/>
            <w:vAlign w:val="center"/>
          </w:tcPr>
          <w:p w14:paraId="0899E3C0"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12C2E97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N=54</w:t>
            </w:r>
          </w:p>
        </w:tc>
      </w:tr>
      <w:tr w:rsidR="001E0057" w:rsidRPr="008F2447" w14:paraId="0387FA8D" w14:textId="77777777" w:rsidTr="003011AA">
        <w:tc>
          <w:tcPr>
            <w:tcW w:w="1550" w:type="dxa"/>
            <w:tcBorders>
              <w:top w:val="single" w:sz="18" w:space="0" w:color="auto"/>
              <w:left w:val="nil"/>
            </w:tcBorders>
            <w:vAlign w:val="center"/>
          </w:tcPr>
          <w:p w14:paraId="14C2C24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Hip BMD</w:t>
            </w:r>
          </w:p>
        </w:tc>
        <w:tc>
          <w:tcPr>
            <w:tcW w:w="1550" w:type="dxa"/>
            <w:tcBorders>
              <w:top w:val="single" w:sz="18" w:space="0" w:color="auto"/>
            </w:tcBorders>
            <w:vAlign w:val="center"/>
          </w:tcPr>
          <w:p w14:paraId="0EA30A7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1FD60CD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54</w:t>
            </w:r>
            <w:r w:rsidRPr="008F2447">
              <w:rPr>
                <w:rFonts w:asciiTheme="majorBidi" w:hAnsiTheme="majorBidi" w:cstheme="majorBidi"/>
              </w:rPr>
              <w:t xml:space="preserve"> (</w:t>
            </w:r>
            <w:r>
              <w:rPr>
                <w:rFonts w:asciiTheme="majorBidi" w:hAnsiTheme="majorBidi" w:cstheme="majorBidi"/>
              </w:rPr>
              <w:t>1.14</w:t>
            </w:r>
            <w:r w:rsidRPr="008F2447">
              <w:rPr>
                <w:rFonts w:asciiTheme="majorBidi" w:hAnsiTheme="majorBidi" w:cstheme="majorBidi"/>
              </w:rPr>
              <w:t>, 2</w:t>
            </w:r>
            <w:r>
              <w:rPr>
                <w:rFonts w:asciiTheme="majorBidi" w:hAnsiTheme="majorBidi" w:cstheme="majorBidi"/>
              </w:rPr>
              <w:t>7.93</w:t>
            </w:r>
            <w:r w:rsidRPr="008F2447">
              <w:rPr>
                <w:rFonts w:asciiTheme="majorBidi" w:hAnsiTheme="majorBidi" w:cstheme="majorBidi"/>
              </w:rPr>
              <w:t>)*</w:t>
            </w:r>
          </w:p>
        </w:tc>
        <w:tc>
          <w:tcPr>
            <w:tcW w:w="1550" w:type="dxa"/>
            <w:tcBorders>
              <w:top w:val="single" w:sz="18" w:space="0" w:color="auto"/>
            </w:tcBorders>
            <w:vAlign w:val="center"/>
          </w:tcPr>
          <w:p w14:paraId="71B76D1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07</w:t>
            </w:r>
            <w:r w:rsidRPr="008F2447">
              <w:rPr>
                <w:rFonts w:asciiTheme="majorBidi" w:hAnsiTheme="majorBidi" w:cstheme="majorBidi"/>
              </w:rPr>
              <w:t xml:space="preserve"> (3.</w:t>
            </w:r>
            <w:r>
              <w:rPr>
                <w:rFonts w:asciiTheme="majorBidi" w:hAnsiTheme="majorBidi" w:cstheme="majorBidi"/>
              </w:rPr>
              <w:t>35</w:t>
            </w:r>
            <w:r w:rsidRPr="008F2447">
              <w:rPr>
                <w:rFonts w:asciiTheme="majorBidi" w:hAnsiTheme="majorBidi" w:cstheme="majorBidi"/>
              </w:rPr>
              <w:t>, 28.</w:t>
            </w:r>
            <w:r>
              <w:rPr>
                <w:rFonts w:asciiTheme="majorBidi" w:hAnsiTheme="majorBidi" w:cstheme="majorBidi"/>
              </w:rPr>
              <w:t>78</w:t>
            </w:r>
            <w:r w:rsidRPr="008F2447">
              <w:rPr>
                <w:rFonts w:asciiTheme="majorBidi" w:hAnsiTheme="majorBidi" w:cstheme="majorBidi"/>
              </w:rPr>
              <w:t>)*</w:t>
            </w:r>
          </w:p>
        </w:tc>
        <w:tc>
          <w:tcPr>
            <w:tcW w:w="1550" w:type="dxa"/>
            <w:tcBorders>
              <w:top w:val="single" w:sz="18" w:space="0" w:color="auto"/>
              <w:right w:val="single" w:sz="18" w:space="0" w:color="auto"/>
            </w:tcBorders>
            <w:vAlign w:val="center"/>
          </w:tcPr>
          <w:p w14:paraId="24E21003"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20</w:t>
            </w:r>
            <w:r w:rsidRPr="008F2447">
              <w:rPr>
                <w:rFonts w:asciiTheme="majorBidi" w:hAnsiTheme="majorBidi" w:cstheme="majorBidi"/>
              </w:rPr>
              <w:t>.</w:t>
            </w:r>
            <w:r>
              <w:rPr>
                <w:rFonts w:asciiTheme="majorBidi" w:hAnsiTheme="majorBidi" w:cstheme="majorBidi"/>
              </w:rPr>
              <w:t>49</w:t>
            </w:r>
            <w:r w:rsidRPr="008F2447">
              <w:rPr>
                <w:rFonts w:asciiTheme="majorBidi" w:hAnsiTheme="majorBidi" w:cstheme="majorBidi"/>
              </w:rPr>
              <w:t xml:space="preserve"> (</w:t>
            </w:r>
            <w:r>
              <w:rPr>
                <w:rFonts w:asciiTheme="majorBidi" w:hAnsiTheme="majorBidi" w:cstheme="majorBidi"/>
              </w:rPr>
              <w:t>3.06</w:t>
            </w:r>
            <w:r w:rsidRPr="008F2447">
              <w:rPr>
                <w:rFonts w:asciiTheme="majorBidi" w:hAnsiTheme="majorBidi" w:cstheme="majorBidi"/>
              </w:rPr>
              <w:t>, 3</w:t>
            </w:r>
            <w:r>
              <w:rPr>
                <w:rFonts w:asciiTheme="majorBidi" w:hAnsiTheme="majorBidi" w:cstheme="majorBidi"/>
              </w:rPr>
              <w:t>7.93</w:t>
            </w:r>
            <w:r w:rsidRPr="008F2447">
              <w:rPr>
                <w:rFonts w:asciiTheme="majorBidi" w:hAnsiTheme="majorBidi" w:cstheme="majorBidi"/>
              </w:rPr>
              <w:t>)*</w:t>
            </w:r>
          </w:p>
        </w:tc>
        <w:tc>
          <w:tcPr>
            <w:tcW w:w="1550" w:type="dxa"/>
            <w:gridSpan w:val="2"/>
            <w:tcBorders>
              <w:top w:val="single" w:sz="18" w:space="0" w:color="auto"/>
              <w:left w:val="single" w:sz="18" w:space="0" w:color="auto"/>
            </w:tcBorders>
            <w:vAlign w:val="center"/>
          </w:tcPr>
          <w:p w14:paraId="0F8CFD2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top w:val="single" w:sz="18" w:space="0" w:color="auto"/>
            </w:tcBorders>
            <w:vAlign w:val="center"/>
          </w:tcPr>
          <w:p w14:paraId="2ED8DEF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48</w:t>
            </w:r>
            <w:r w:rsidRPr="008F2447">
              <w:rPr>
                <w:rFonts w:asciiTheme="majorBidi" w:hAnsiTheme="majorBidi" w:cstheme="majorBidi"/>
              </w:rPr>
              <w:t xml:space="preserve"> (-</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93</w:t>
            </w:r>
            <w:r w:rsidRPr="008F2447">
              <w:rPr>
                <w:rFonts w:asciiTheme="majorBidi" w:hAnsiTheme="majorBidi" w:cstheme="majorBidi"/>
              </w:rPr>
              <w:t>, 2</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90</w:t>
            </w:r>
            <w:r w:rsidRPr="008F2447">
              <w:rPr>
                <w:rFonts w:asciiTheme="majorBidi" w:hAnsiTheme="majorBidi" w:cstheme="majorBidi"/>
              </w:rPr>
              <w:t>)</w:t>
            </w:r>
          </w:p>
        </w:tc>
        <w:tc>
          <w:tcPr>
            <w:tcW w:w="1550" w:type="dxa"/>
            <w:tcBorders>
              <w:top w:val="single" w:sz="18" w:space="0" w:color="auto"/>
            </w:tcBorders>
            <w:vAlign w:val="center"/>
          </w:tcPr>
          <w:p w14:paraId="50EE9819"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08</w:t>
            </w:r>
            <w:r w:rsidRPr="008F2447">
              <w:rPr>
                <w:rFonts w:asciiTheme="majorBidi" w:hAnsiTheme="majorBidi" w:cstheme="majorBidi"/>
              </w:rPr>
              <w:t xml:space="preserve"> (-1</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46</w:t>
            </w:r>
            <w:r w:rsidRPr="008F2447">
              <w:rPr>
                <w:rFonts w:asciiTheme="majorBidi" w:hAnsiTheme="majorBidi" w:cstheme="majorBidi"/>
              </w:rPr>
              <w:t>, 1</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61</w:t>
            </w:r>
            <w:r w:rsidRPr="008F2447">
              <w:rPr>
                <w:rFonts w:asciiTheme="majorBidi" w:hAnsiTheme="majorBidi" w:cstheme="majorBidi"/>
              </w:rPr>
              <w:t>)</w:t>
            </w:r>
          </w:p>
        </w:tc>
        <w:tc>
          <w:tcPr>
            <w:tcW w:w="1550" w:type="dxa"/>
            <w:tcBorders>
              <w:top w:val="single" w:sz="18" w:space="0" w:color="auto"/>
              <w:right w:val="nil"/>
            </w:tcBorders>
            <w:vAlign w:val="center"/>
          </w:tcPr>
          <w:p w14:paraId="6C4DE64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34</w:t>
            </w:r>
            <w:r w:rsidRPr="008F2447">
              <w:rPr>
                <w:rFonts w:asciiTheme="majorBidi" w:hAnsiTheme="majorBidi" w:cstheme="majorBidi"/>
              </w:rPr>
              <w:t xml:space="preserve"> (-</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47</w:t>
            </w:r>
            <w:r w:rsidRPr="008F2447">
              <w:rPr>
                <w:rFonts w:asciiTheme="majorBidi" w:hAnsiTheme="majorBidi" w:cstheme="majorBidi"/>
              </w:rPr>
              <w:t>, 2</w:t>
            </w:r>
            <w:r>
              <w:rPr>
                <w:rFonts w:asciiTheme="majorBidi" w:hAnsiTheme="majorBidi" w:cstheme="majorBidi"/>
              </w:rPr>
              <w:t>7</w:t>
            </w:r>
            <w:r w:rsidRPr="008F2447">
              <w:rPr>
                <w:rFonts w:asciiTheme="majorBidi" w:hAnsiTheme="majorBidi" w:cstheme="majorBidi"/>
              </w:rPr>
              <w:t>.</w:t>
            </w:r>
            <w:r>
              <w:rPr>
                <w:rFonts w:asciiTheme="majorBidi" w:hAnsiTheme="majorBidi" w:cstheme="majorBidi"/>
              </w:rPr>
              <w:t>14</w:t>
            </w:r>
            <w:r w:rsidRPr="008F2447">
              <w:rPr>
                <w:rFonts w:asciiTheme="majorBidi" w:hAnsiTheme="majorBidi" w:cstheme="majorBidi"/>
              </w:rPr>
              <w:t>)</w:t>
            </w:r>
          </w:p>
        </w:tc>
      </w:tr>
      <w:tr w:rsidR="001E0057" w:rsidRPr="008F2447" w14:paraId="62CB5D5B" w14:textId="77777777" w:rsidTr="003011AA">
        <w:tc>
          <w:tcPr>
            <w:tcW w:w="1550" w:type="dxa"/>
            <w:tcBorders>
              <w:left w:val="nil"/>
            </w:tcBorders>
            <w:vAlign w:val="center"/>
          </w:tcPr>
          <w:p w14:paraId="12A3B51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Spine BMD</w:t>
            </w:r>
          </w:p>
        </w:tc>
        <w:tc>
          <w:tcPr>
            <w:tcW w:w="1550" w:type="dxa"/>
            <w:vAlign w:val="center"/>
          </w:tcPr>
          <w:p w14:paraId="2D66D9D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vAlign w:val="center"/>
          </w:tcPr>
          <w:p w14:paraId="5DC1016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0</w:t>
            </w:r>
            <w:r w:rsidRPr="008F2447">
              <w:rPr>
                <w:rFonts w:asciiTheme="majorBidi" w:hAnsiTheme="majorBidi" w:cstheme="majorBidi"/>
              </w:rPr>
              <w:t>.</w:t>
            </w:r>
            <w:r>
              <w:rPr>
                <w:rFonts w:asciiTheme="majorBidi" w:hAnsiTheme="majorBidi" w:cstheme="majorBidi"/>
              </w:rPr>
              <w:t>65</w:t>
            </w:r>
            <w:r w:rsidRPr="008F2447">
              <w:rPr>
                <w:rFonts w:asciiTheme="majorBidi" w:hAnsiTheme="majorBidi" w:cstheme="majorBidi"/>
              </w:rPr>
              <w:t xml:space="preserve"> (-1</w:t>
            </w:r>
            <w:r>
              <w:rPr>
                <w:rFonts w:asciiTheme="majorBidi" w:hAnsiTheme="majorBidi" w:cstheme="majorBidi"/>
              </w:rPr>
              <w:t>5.89</w:t>
            </w:r>
            <w:r w:rsidRPr="008F2447">
              <w:rPr>
                <w:rFonts w:asciiTheme="majorBidi" w:hAnsiTheme="majorBidi" w:cstheme="majorBidi"/>
              </w:rPr>
              <w:t>, 1</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59</w:t>
            </w:r>
            <w:r w:rsidRPr="008F2447">
              <w:rPr>
                <w:rFonts w:asciiTheme="majorBidi" w:hAnsiTheme="majorBidi" w:cstheme="majorBidi"/>
              </w:rPr>
              <w:t>)</w:t>
            </w:r>
          </w:p>
        </w:tc>
        <w:tc>
          <w:tcPr>
            <w:tcW w:w="1550" w:type="dxa"/>
            <w:vAlign w:val="center"/>
          </w:tcPr>
          <w:p w14:paraId="50607C07"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8</w:t>
            </w:r>
            <w:r w:rsidRPr="008F2447">
              <w:rPr>
                <w:rFonts w:asciiTheme="majorBidi" w:hAnsiTheme="majorBidi" w:cstheme="majorBidi"/>
              </w:rPr>
              <w:t>.6</w:t>
            </w:r>
            <w:r>
              <w:rPr>
                <w:rFonts w:asciiTheme="majorBidi" w:hAnsiTheme="majorBidi" w:cstheme="majorBidi"/>
              </w:rPr>
              <w:t>3</w:t>
            </w:r>
            <w:r w:rsidRPr="008F2447">
              <w:rPr>
                <w:rFonts w:asciiTheme="majorBidi" w:hAnsiTheme="majorBidi" w:cstheme="majorBidi"/>
              </w:rPr>
              <w:t xml:space="preserve"> (-</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70</w:t>
            </w:r>
            <w:r w:rsidRPr="008F2447">
              <w:rPr>
                <w:rFonts w:asciiTheme="majorBidi" w:hAnsiTheme="majorBidi" w:cstheme="majorBidi"/>
              </w:rPr>
              <w:t>, 2</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96</w:t>
            </w:r>
            <w:r w:rsidRPr="008F2447">
              <w:rPr>
                <w:rFonts w:asciiTheme="majorBidi" w:hAnsiTheme="majorBidi" w:cstheme="majorBidi"/>
              </w:rPr>
              <w:t>)</w:t>
            </w:r>
          </w:p>
        </w:tc>
        <w:tc>
          <w:tcPr>
            <w:tcW w:w="1550" w:type="dxa"/>
            <w:tcBorders>
              <w:right w:val="single" w:sz="18" w:space="0" w:color="auto"/>
            </w:tcBorders>
            <w:vAlign w:val="center"/>
          </w:tcPr>
          <w:p w14:paraId="2082F2A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76</w:t>
            </w:r>
            <w:r w:rsidRPr="008F2447">
              <w:rPr>
                <w:rFonts w:asciiTheme="majorBidi" w:hAnsiTheme="majorBidi" w:cstheme="majorBidi"/>
              </w:rPr>
              <w:t xml:space="preserve"> (-</w:t>
            </w:r>
            <w:r>
              <w:rPr>
                <w:rFonts w:asciiTheme="majorBidi" w:hAnsiTheme="majorBidi" w:cstheme="majorBidi"/>
              </w:rPr>
              <w:t>8</w:t>
            </w:r>
            <w:r w:rsidRPr="008F2447">
              <w:rPr>
                <w:rFonts w:asciiTheme="majorBidi" w:hAnsiTheme="majorBidi" w:cstheme="majorBidi"/>
              </w:rPr>
              <w:t>.</w:t>
            </w:r>
            <w:r>
              <w:rPr>
                <w:rFonts w:asciiTheme="majorBidi" w:hAnsiTheme="majorBidi" w:cstheme="majorBidi"/>
              </w:rPr>
              <w:t>33</w:t>
            </w:r>
            <w:r w:rsidRPr="008F2447">
              <w:rPr>
                <w:rFonts w:asciiTheme="majorBidi" w:hAnsiTheme="majorBidi" w:cstheme="majorBidi"/>
              </w:rPr>
              <w:t>, 3</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85</w:t>
            </w:r>
            <w:r w:rsidRPr="008F2447">
              <w:rPr>
                <w:rFonts w:asciiTheme="majorBidi" w:hAnsiTheme="majorBidi" w:cstheme="majorBidi"/>
              </w:rPr>
              <w:t>)</w:t>
            </w:r>
          </w:p>
        </w:tc>
        <w:tc>
          <w:tcPr>
            <w:tcW w:w="1550" w:type="dxa"/>
            <w:gridSpan w:val="2"/>
            <w:tcBorders>
              <w:left w:val="single" w:sz="18" w:space="0" w:color="auto"/>
            </w:tcBorders>
            <w:vAlign w:val="center"/>
          </w:tcPr>
          <w:p w14:paraId="5AA4EAC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vAlign w:val="center"/>
          </w:tcPr>
          <w:p w14:paraId="03CEDD6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88</w:t>
            </w:r>
            <w:r w:rsidRPr="008F2447">
              <w:rPr>
                <w:rFonts w:asciiTheme="majorBidi" w:hAnsiTheme="majorBidi" w:cstheme="majorBidi"/>
              </w:rPr>
              <w:t xml:space="preserve"> (-2</w:t>
            </w:r>
            <w:r>
              <w:rPr>
                <w:rFonts w:asciiTheme="majorBidi" w:hAnsiTheme="majorBidi" w:cstheme="majorBidi"/>
              </w:rPr>
              <w:t>0</w:t>
            </w:r>
            <w:r w:rsidRPr="008F2447">
              <w:rPr>
                <w:rFonts w:asciiTheme="majorBidi" w:hAnsiTheme="majorBidi" w:cstheme="majorBidi"/>
              </w:rPr>
              <w:t>.</w:t>
            </w:r>
            <w:r>
              <w:rPr>
                <w:rFonts w:asciiTheme="majorBidi" w:hAnsiTheme="majorBidi" w:cstheme="majorBidi"/>
              </w:rPr>
              <w:t>18</w:t>
            </w:r>
            <w:r w:rsidRPr="008F2447">
              <w:rPr>
                <w:rFonts w:asciiTheme="majorBidi" w:hAnsiTheme="majorBidi" w:cstheme="majorBidi"/>
              </w:rPr>
              <w:t>, 1</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4</w:t>
            </w:r>
            <w:r w:rsidRPr="008F2447">
              <w:rPr>
                <w:rFonts w:asciiTheme="majorBidi" w:hAnsiTheme="majorBidi" w:cstheme="majorBidi"/>
              </w:rPr>
              <w:t>2)</w:t>
            </w:r>
          </w:p>
        </w:tc>
        <w:tc>
          <w:tcPr>
            <w:tcW w:w="1550" w:type="dxa"/>
            <w:vAlign w:val="center"/>
          </w:tcPr>
          <w:p w14:paraId="320FC85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13</w:t>
            </w:r>
            <w:r w:rsidRPr="008F2447">
              <w:rPr>
                <w:rFonts w:asciiTheme="majorBidi" w:hAnsiTheme="majorBidi" w:cstheme="majorBidi"/>
              </w:rPr>
              <w:t>.</w:t>
            </w:r>
            <w:r>
              <w:rPr>
                <w:rFonts w:asciiTheme="majorBidi" w:hAnsiTheme="majorBidi" w:cstheme="majorBidi"/>
              </w:rPr>
              <w:t>24</w:t>
            </w:r>
            <w:r w:rsidRPr="008F2447">
              <w:rPr>
                <w:rFonts w:asciiTheme="majorBidi" w:hAnsiTheme="majorBidi" w:cstheme="majorBidi"/>
              </w:rPr>
              <w:t xml:space="preserve"> (-</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66</w:t>
            </w:r>
            <w:r w:rsidRPr="008F2447">
              <w:rPr>
                <w:rFonts w:asciiTheme="majorBidi" w:hAnsiTheme="majorBidi" w:cstheme="majorBidi"/>
              </w:rPr>
              <w:t>, 2</w:t>
            </w:r>
            <w:r>
              <w:rPr>
                <w:rFonts w:asciiTheme="majorBidi" w:hAnsiTheme="majorBidi" w:cstheme="majorBidi"/>
              </w:rPr>
              <w:t>9</w:t>
            </w:r>
            <w:r w:rsidRPr="008F2447">
              <w:rPr>
                <w:rFonts w:asciiTheme="majorBidi" w:hAnsiTheme="majorBidi" w:cstheme="majorBidi"/>
              </w:rPr>
              <w:t>.</w:t>
            </w:r>
            <w:r>
              <w:rPr>
                <w:rFonts w:asciiTheme="majorBidi" w:hAnsiTheme="majorBidi" w:cstheme="majorBidi"/>
              </w:rPr>
              <w:t>13</w:t>
            </w:r>
            <w:r w:rsidRPr="008F2447">
              <w:rPr>
                <w:rFonts w:asciiTheme="majorBidi" w:hAnsiTheme="majorBidi" w:cstheme="majorBidi"/>
              </w:rPr>
              <w:t>)</w:t>
            </w:r>
          </w:p>
        </w:tc>
        <w:tc>
          <w:tcPr>
            <w:tcW w:w="1550" w:type="dxa"/>
            <w:tcBorders>
              <w:right w:val="nil"/>
            </w:tcBorders>
            <w:vAlign w:val="center"/>
          </w:tcPr>
          <w:p w14:paraId="2284FC2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44</w:t>
            </w:r>
            <w:r w:rsidRPr="008F2447">
              <w:rPr>
                <w:rFonts w:asciiTheme="majorBidi" w:hAnsiTheme="majorBidi" w:cstheme="majorBidi"/>
              </w:rPr>
              <w:t xml:space="preserve"> (-</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74</w:t>
            </w:r>
            <w:r w:rsidRPr="008F2447">
              <w:rPr>
                <w:rFonts w:asciiTheme="majorBidi" w:hAnsiTheme="majorBidi" w:cstheme="majorBidi"/>
              </w:rPr>
              <w:t>, 3</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62</w:t>
            </w:r>
            <w:r w:rsidRPr="008F2447">
              <w:rPr>
                <w:rFonts w:asciiTheme="majorBidi" w:hAnsiTheme="majorBidi" w:cstheme="majorBidi"/>
              </w:rPr>
              <w:t>)</w:t>
            </w:r>
            <w:r>
              <w:rPr>
                <w:rFonts w:asciiTheme="majorBidi" w:hAnsiTheme="majorBidi" w:cstheme="majorBidi"/>
              </w:rPr>
              <w:t>^</w:t>
            </w:r>
          </w:p>
        </w:tc>
      </w:tr>
      <w:tr w:rsidR="001E0057" w:rsidRPr="008F2447" w14:paraId="52EDBA83" w14:textId="77777777" w:rsidTr="003011AA">
        <w:tc>
          <w:tcPr>
            <w:tcW w:w="1550" w:type="dxa"/>
            <w:tcBorders>
              <w:left w:val="nil"/>
              <w:bottom w:val="single" w:sz="18" w:space="0" w:color="auto"/>
            </w:tcBorders>
            <w:vAlign w:val="center"/>
          </w:tcPr>
          <w:p w14:paraId="2EC9546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Total Body BMD</w:t>
            </w:r>
          </w:p>
        </w:tc>
        <w:tc>
          <w:tcPr>
            <w:tcW w:w="1550" w:type="dxa"/>
            <w:tcBorders>
              <w:bottom w:val="single" w:sz="18" w:space="0" w:color="auto"/>
            </w:tcBorders>
            <w:vAlign w:val="center"/>
          </w:tcPr>
          <w:p w14:paraId="7CB9012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606D7B3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w:t>
            </w:r>
            <w:r>
              <w:rPr>
                <w:rFonts w:asciiTheme="majorBidi" w:hAnsiTheme="majorBidi" w:cstheme="majorBidi"/>
              </w:rPr>
              <w:t>0</w:t>
            </w:r>
            <w:r w:rsidRPr="008F2447">
              <w:rPr>
                <w:rFonts w:asciiTheme="majorBidi" w:hAnsiTheme="majorBidi" w:cstheme="majorBidi"/>
              </w:rPr>
              <w:t>.</w:t>
            </w:r>
            <w:r>
              <w:rPr>
                <w:rFonts w:asciiTheme="majorBidi" w:hAnsiTheme="majorBidi" w:cstheme="majorBidi"/>
              </w:rPr>
              <w:t>93</w:t>
            </w:r>
            <w:r w:rsidRPr="008F2447">
              <w:rPr>
                <w:rFonts w:asciiTheme="majorBidi" w:hAnsiTheme="majorBidi" w:cstheme="majorBidi"/>
              </w:rPr>
              <w:t xml:space="preserve"> (</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24</w:t>
            </w:r>
            <w:r w:rsidRPr="008F2447">
              <w:rPr>
                <w:rFonts w:asciiTheme="majorBidi" w:hAnsiTheme="majorBidi" w:cstheme="majorBidi"/>
              </w:rPr>
              <w:t xml:space="preserve">, </w:t>
            </w:r>
            <w:r>
              <w:rPr>
                <w:rFonts w:asciiTheme="majorBidi" w:hAnsiTheme="majorBidi" w:cstheme="majorBidi"/>
              </w:rPr>
              <w:t>4</w:t>
            </w:r>
            <w:r w:rsidRPr="008F2447">
              <w:rPr>
                <w:rFonts w:asciiTheme="majorBidi" w:hAnsiTheme="majorBidi" w:cstheme="majorBidi"/>
              </w:rPr>
              <w:t>5.</w:t>
            </w:r>
            <w:r>
              <w:rPr>
                <w:rFonts w:asciiTheme="majorBidi" w:hAnsiTheme="majorBidi" w:cstheme="majorBidi"/>
              </w:rPr>
              <w:t>09</w:t>
            </w:r>
            <w:r w:rsidRPr="008F2447">
              <w:rPr>
                <w:rFonts w:asciiTheme="majorBidi" w:hAnsiTheme="majorBidi" w:cstheme="majorBidi"/>
              </w:rPr>
              <w:t>)</w:t>
            </w:r>
          </w:p>
        </w:tc>
        <w:tc>
          <w:tcPr>
            <w:tcW w:w="1550" w:type="dxa"/>
            <w:tcBorders>
              <w:bottom w:val="single" w:sz="18" w:space="0" w:color="auto"/>
            </w:tcBorders>
            <w:vAlign w:val="center"/>
          </w:tcPr>
          <w:p w14:paraId="631E108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48</w:t>
            </w:r>
            <w:r w:rsidRPr="008F2447">
              <w:rPr>
                <w:rFonts w:asciiTheme="majorBidi" w:hAnsiTheme="majorBidi" w:cstheme="majorBidi"/>
              </w:rPr>
              <w:t xml:space="preserve"> (-</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91</w:t>
            </w:r>
            <w:r w:rsidRPr="008F2447">
              <w:rPr>
                <w:rFonts w:asciiTheme="majorBidi" w:hAnsiTheme="majorBidi" w:cstheme="majorBidi"/>
              </w:rPr>
              <w:t>, 4</w:t>
            </w:r>
            <w:r>
              <w:rPr>
                <w:rFonts w:asciiTheme="majorBidi" w:hAnsiTheme="majorBidi" w:cstheme="majorBidi"/>
              </w:rPr>
              <w:t>5</w:t>
            </w:r>
            <w:r w:rsidRPr="008F2447">
              <w:rPr>
                <w:rFonts w:asciiTheme="majorBidi" w:hAnsiTheme="majorBidi" w:cstheme="majorBidi"/>
              </w:rPr>
              <w:t>.</w:t>
            </w:r>
            <w:r>
              <w:rPr>
                <w:rFonts w:asciiTheme="majorBidi" w:hAnsiTheme="majorBidi" w:cstheme="majorBidi"/>
              </w:rPr>
              <w:t>88</w:t>
            </w:r>
            <w:r w:rsidRPr="008F2447">
              <w:rPr>
                <w:rFonts w:asciiTheme="majorBidi" w:hAnsiTheme="majorBidi" w:cstheme="majorBidi"/>
              </w:rPr>
              <w:t>)</w:t>
            </w:r>
          </w:p>
        </w:tc>
        <w:tc>
          <w:tcPr>
            <w:tcW w:w="1550" w:type="dxa"/>
            <w:tcBorders>
              <w:bottom w:val="single" w:sz="18" w:space="0" w:color="auto"/>
              <w:right w:val="single" w:sz="18" w:space="0" w:color="auto"/>
            </w:tcBorders>
            <w:vAlign w:val="center"/>
          </w:tcPr>
          <w:p w14:paraId="136BFEEE"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53</w:t>
            </w:r>
            <w:r w:rsidRPr="008F2447">
              <w:rPr>
                <w:rFonts w:asciiTheme="majorBidi" w:hAnsiTheme="majorBidi" w:cstheme="majorBidi"/>
              </w:rPr>
              <w:t xml:space="preserve"> (-3</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77</w:t>
            </w:r>
            <w:r w:rsidRPr="008F2447">
              <w:rPr>
                <w:rFonts w:asciiTheme="majorBidi" w:hAnsiTheme="majorBidi" w:cstheme="majorBidi"/>
              </w:rPr>
              <w:t xml:space="preserve">, </w:t>
            </w:r>
            <w:r>
              <w:rPr>
                <w:rFonts w:asciiTheme="majorBidi" w:hAnsiTheme="majorBidi" w:cstheme="majorBidi"/>
              </w:rPr>
              <w:t>34.84</w:t>
            </w:r>
            <w:r w:rsidRPr="008F2447">
              <w:rPr>
                <w:rFonts w:asciiTheme="majorBidi" w:hAnsiTheme="majorBidi" w:cstheme="majorBidi"/>
              </w:rPr>
              <w:t>)</w:t>
            </w:r>
          </w:p>
        </w:tc>
        <w:tc>
          <w:tcPr>
            <w:tcW w:w="1550" w:type="dxa"/>
            <w:gridSpan w:val="2"/>
            <w:tcBorders>
              <w:left w:val="single" w:sz="18" w:space="0" w:color="auto"/>
              <w:bottom w:val="single" w:sz="18" w:space="0" w:color="auto"/>
            </w:tcBorders>
            <w:vAlign w:val="center"/>
          </w:tcPr>
          <w:p w14:paraId="311FB0AD"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1550" w:type="dxa"/>
            <w:tcBorders>
              <w:bottom w:val="single" w:sz="18" w:space="0" w:color="auto"/>
            </w:tcBorders>
            <w:vAlign w:val="center"/>
          </w:tcPr>
          <w:p w14:paraId="27C9A9E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845</w:t>
            </w:r>
            <w:r w:rsidRPr="008F2447">
              <w:rPr>
                <w:rFonts w:asciiTheme="majorBidi" w:hAnsiTheme="majorBidi" w:cstheme="majorBidi"/>
              </w:rPr>
              <w:t xml:space="preserve"> (-</w:t>
            </w:r>
            <w:r>
              <w:rPr>
                <w:rFonts w:asciiTheme="majorBidi" w:hAnsiTheme="majorBidi" w:cstheme="majorBidi"/>
              </w:rPr>
              <w:t>4</w:t>
            </w:r>
            <w:r w:rsidRPr="008F2447">
              <w:rPr>
                <w:rFonts w:asciiTheme="majorBidi" w:hAnsiTheme="majorBidi" w:cstheme="majorBidi"/>
              </w:rPr>
              <w:t>.</w:t>
            </w:r>
            <w:r>
              <w:rPr>
                <w:rFonts w:asciiTheme="majorBidi" w:hAnsiTheme="majorBidi" w:cstheme="majorBidi"/>
              </w:rPr>
              <w:t>54</w:t>
            </w:r>
            <w:r w:rsidRPr="008F2447">
              <w:rPr>
                <w:rFonts w:asciiTheme="majorBidi" w:hAnsiTheme="majorBidi" w:cstheme="majorBidi"/>
              </w:rPr>
              <w:t xml:space="preserve">, </w:t>
            </w:r>
            <w:r>
              <w:rPr>
                <w:rFonts w:asciiTheme="majorBidi" w:hAnsiTheme="majorBidi" w:cstheme="majorBidi"/>
              </w:rPr>
              <w:t>47</w:t>
            </w:r>
            <w:r w:rsidRPr="008F2447">
              <w:rPr>
                <w:rFonts w:asciiTheme="majorBidi" w:hAnsiTheme="majorBidi" w:cstheme="majorBidi"/>
              </w:rPr>
              <w:t>.</w:t>
            </w:r>
            <w:r>
              <w:rPr>
                <w:rFonts w:asciiTheme="majorBidi" w:hAnsiTheme="majorBidi" w:cstheme="majorBidi"/>
              </w:rPr>
              <w:t>43</w:t>
            </w:r>
            <w:r w:rsidRPr="008F2447">
              <w:rPr>
                <w:rFonts w:asciiTheme="majorBidi" w:hAnsiTheme="majorBidi" w:cstheme="majorBidi"/>
              </w:rPr>
              <w:t>)</w:t>
            </w:r>
          </w:p>
        </w:tc>
        <w:tc>
          <w:tcPr>
            <w:tcW w:w="1550" w:type="dxa"/>
            <w:tcBorders>
              <w:bottom w:val="single" w:sz="18" w:space="0" w:color="auto"/>
            </w:tcBorders>
            <w:vAlign w:val="center"/>
          </w:tcPr>
          <w:p w14:paraId="7E86C5B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2</w:t>
            </w:r>
            <w:r>
              <w:rPr>
                <w:rFonts w:asciiTheme="majorBidi" w:hAnsiTheme="majorBidi" w:cstheme="majorBidi"/>
              </w:rPr>
              <w:t>6</w:t>
            </w:r>
            <w:r w:rsidRPr="008F2447">
              <w:rPr>
                <w:rFonts w:asciiTheme="majorBidi" w:hAnsiTheme="majorBidi" w:cstheme="majorBidi"/>
              </w:rPr>
              <w:t>.</w:t>
            </w:r>
            <w:r>
              <w:rPr>
                <w:rFonts w:asciiTheme="majorBidi" w:hAnsiTheme="majorBidi" w:cstheme="majorBidi"/>
              </w:rPr>
              <w:t>71</w:t>
            </w:r>
            <w:r w:rsidRPr="008F2447">
              <w:rPr>
                <w:rFonts w:asciiTheme="majorBidi" w:hAnsiTheme="majorBidi" w:cstheme="majorBidi"/>
              </w:rPr>
              <w:t xml:space="preserve"> (</w:t>
            </w:r>
            <w:r>
              <w:rPr>
                <w:rFonts w:asciiTheme="majorBidi" w:hAnsiTheme="majorBidi" w:cstheme="majorBidi"/>
              </w:rPr>
              <w:t>1.2</w:t>
            </w:r>
            <w:r w:rsidRPr="008F2447">
              <w:rPr>
                <w:rFonts w:asciiTheme="majorBidi" w:hAnsiTheme="majorBidi" w:cstheme="majorBidi"/>
              </w:rPr>
              <w:t>3, 5</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18</w:t>
            </w:r>
            <w:r w:rsidRPr="008F2447">
              <w:rPr>
                <w:rFonts w:asciiTheme="majorBidi" w:hAnsiTheme="majorBidi" w:cstheme="majorBidi"/>
              </w:rPr>
              <w:t>)*</w:t>
            </w:r>
          </w:p>
        </w:tc>
        <w:tc>
          <w:tcPr>
            <w:tcW w:w="1550" w:type="dxa"/>
            <w:tcBorders>
              <w:bottom w:val="single" w:sz="18" w:space="0" w:color="auto"/>
              <w:right w:val="nil"/>
            </w:tcBorders>
            <w:vAlign w:val="center"/>
          </w:tcPr>
          <w:p w14:paraId="135C31C3"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19</w:t>
            </w:r>
            <w:r w:rsidRPr="008F2447">
              <w:rPr>
                <w:rFonts w:asciiTheme="majorBidi" w:hAnsiTheme="majorBidi" w:cstheme="majorBidi"/>
              </w:rPr>
              <w:t>.</w:t>
            </w:r>
            <w:r>
              <w:rPr>
                <w:rFonts w:asciiTheme="majorBidi" w:hAnsiTheme="majorBidi" w:cstheme="majorBidi"/>
              </w:rPr>
              <w:t>27</w:t>
            </w:r>
            <w:r w:rsidRPr="008F2447">
              <w:rPr>
                <w:rFonts w:asciiTheme="majorBidi" w:hAnsiTheme="majorBidi" w:cstheme="majorBidi"/>
              </w:rPr>
              <w:t xml:space="preserve"> (-</w:t>
            </w:r>
            <w:r>
              <w:rPr>
                <w:rFonts w:asciiTheme="majorBidi" w:hAnsiTheme="majorBidi" w:cstheme="majorBidi"/>
              </w:rPr>
              <w:t>9</w:t>
            </w:r>
            <w:r w:rsidRPr="008F2447">
              <w:rPr>
                <w:rFonts w:asciiTheme="majorBidi" w:hAnsiTheme="majorBidi" w:cstheme="majorBidi"/>
              </w:rPr>
              <w:t>.</w:t>
            </w:r>
            <w:r>
              <w:rPr>
                <w:rFonts w:asciiTheme="majorBidi" w:hAnsiTheme="majorBidi" w:cstheme="majorBidi"/>
              </w:rPr>
              <w:t>85</w:t>
            </w:r>
            <w:r w:rsidRPr="008F2447">
              <w:rPr>
                <w:rFonts w:asciiTheme="majorBidi" w:hAnsiTheme="majorBidi" w:cstheme="majorBidi"/>
              </w:rPr>
              <w:t xml:space="preserve">, </w:t>
            </w:r>
            <w:r>
              <w:rPr>
                <w:rFonts w:asciiTheme="majorBidi" w:hAnsiTheme="majorBidi" w:cstheme="majorBidi"/>
              </w:rPr>
              <w:t>48</w:t>
            </w:r>
            <w:r w:rsidRPr="008F2447">
              <w:rPr>
                <w:rFonts w:asciiTheme="majorBidi" w:hAnsiTheme="majorBidi" w:cstheme="majorBidi"/>
              </w:rPr>
              <w:t>.</w:t>
            </w:r>
            <w:r>
              <w:rPr>
                <w:rFonts w:asciiTheme="majorBidi" w:hAnsiTheme="majorBidi" w:cstheme="majorBidi"/>
              </w:rPr>
              <w:t>39</w:t>
            </w:r>
            <w:r w:rsidRPr="008F2447">
              <w:rPr>
                <w:rFonts w:asciiTheme="majorBidi" w:hAnsiTheme="majorBidi" w:cstheme="majorBidi"/>
              </w:rPr>
              <w:t>)</w:t>
            </w:r>
          </w:p>
        </w:tc>
      </w:tr>
    </w:tbl>
    <w:p w14:paraId="05192808"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*Significantly different to non-</w:t>
      </w:r>
      <w:proofErr w:type="spellStart"/>
      <w:r w:rsidRPr="008F2447">
        <w:rPr>
          <w:rFonts w:asciiTheme="majorBidi" w:hAnsiTheme="majorBidi" w:cstheme="majorBidi"/>
        </w:rPr>
        <w:t>sarcopenic</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non-obese</w:t>
      </w:r>
    </w:p>
    <w:p w14:paraId="312178B9"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^Significantly different to non-</w:t>
      </w:r>
      <w:proofErr w:type="spellStart"/>
      <w:r w:rsidRPr="008F2447">
        <w:rPr>
          <w:rFonts w:asciiTheme="majorBidi" w:hAnsiTheme="majorBidi" w:cstheme="majorBidi"/>
        </w:rPr>
        <w:t>sarcopenic</w:t>
      </w:r>
      <w:proofErr w:type="spellEnd"/>
      <w:r w:rsidRPr="008F2447">
        <w:rPr>
          <w:rFonts w:asciiTheme="majorBidi" w:hAnsiTheme="majorBidi" w:cstheme="majorBidi"/>
        </w:rPr>
        <w:t>/</w:t>
      </w:r>
      <w:proofErr w:type="spellStart"/>
      <w:r w:rsidRPr="008F2447">
        <w:rPr>
          <w:rFonts w:asciiTheme="majorBidi" w:hAnsiTheme="majorBidi" w:cstheme="majorBidi"/>
        </w:rPr>
        <w:t>dynapenic</w:t>
      </w:r>
      <w:proofErr w:type="spellEnd"/>
      <w:r w:rsidRPr="008F2447">
        <w:rPr>
          <w:rFonts w:asciiTheme="majorBidi" w:hAnsiTheme="majorBidi" w:cstheme="majorBidi"/>
        </w:rPr>
        <w:t>, obese</w:t>
      </w:r>
    </w:p>
    <w:p w14:paraId="6C21256D" w14:textId="77777777" w:rsidR="001E0057" w:rsidRPr="004A0C14" w:rsidRDefault="001E0057" w:rsidP="001E0057">
      <w:pPr>
        <w:spacing w:line="480" w:lineRule="auto"/>
        <w:rPr>
          <w:rFonts w:asciiTheme="majorBidi" w:hAnsiTheme="majorBidi" w:cstheme="majorBidi"/>
        </w:rPr>
      </w:pPr>
      <w:r w:rsidRPr="008F2447">
        <w:rPr>
          <w:rFonts w:asciiTheme="majorBidi" w:hAnsiTheme="majorBidi" w:cstheme="majorBidi"/>
        </w:rPr>
        <w:t xml:space="preserve">Adjusted for baseline age, alcohol </w:t>
      </w:r>
      <w:r>
        <w:rPr>
          <w:rFonts w:asciiTheme="majorBidi" w:hAnsiTheme="majorBidi" w:cstheme="majorBidi"/>
        </w:rPr>
        <w:t>intake</w:t>
      </w:r>
      <w:r w:rsidRPr="008F2447">
        <w:rPr>
          <w:rFonts w:asciiTheme="majorBidi" w:hAnsiTheme="majorBidi" w:cstheme="majorBidi"/>
        </w:rPr>
        <w:t>, smoking status, physical activity (steps/day),</w:t>
      </w:r>
      <w:r>
        <w:rPr>
          <w:rFonts w:asciiTheme="majorBidi" w:hAnsiTheme="majorBidi" w:cstheme="majorBidi"/>
        </w:rPr>
        <w:t xml:space="preserve"> </w:t>
      </w:r>
      <w:r w:rsidRPr="008F2447">
        <w:rPr>
          <w:rFonts w:asciiTheme="majorBidi" w:hAnsiTheme="majorBidi" w:cstheme="majorBidi"/>
        </w:rPr>
        <w:t>BMD</w:t>
      </w:r>
      <w:r>
        <w:rPr>
          <w:rFonts w:asciiTheme="majorBidi" w:hAnsiTheme="majorBidi" w:cstheme="majorBidi"/>
        </w:rPr>
        <w:t xml:space="preserve"> (at the relevant site),</w:t>
      </w:r>
      <w:r w:rsidRPr="008F2447">
        <w:rPr>
          <w:rFonts w:asciiTheme="majorBidi" w:hAnsiTheme="majorBidi" w:cstheme="majorBidi"/>
        </w:rPr>
        <w:t xml:space="preserve"> </w:t>
      </w:r>
      <w:r>
        <w:rPr>
          <w:rFonts w:asciiTheme="majorBidi" w:hAnsiTheme="majorBidi" w:cstheme="majorBidi"/>
        </w:rPr>
        <w:t>falls risk score,</w:t>
      </w:r>
      <w:r w:rsidRPr="008F2447">
        <w:rPr>
          <w:rFonts w:asciiTheme="majorBidi" w:hAnsiTheme="majorBidi" w:cstheme="majorBidi"/>
        </w:rPr>
        <w:t xml:space="preserve"> self-reported pain</w:t>
      </w:r>
      <w:r>
        <w:rPr>
          <w:rFonts w:asciiTheme="majorBidi" w:hAnsiTheme="majorBidi" w:cstheme="majorBidi"/>
        </w:rPr>
        <w:t xml:space="preserve"> and number of co-morbidities, and </w:t>
      </w:r>
      <w:r w:rsidRPr="008F2447">
        <w:rPr>
          <w:rFonts w:asciiTheme="majorBidi" w:hAnsiTheme="majorBidi" w:cstheme="majorBidi"/>
        </w:rPr>
        <w:t>change in weight</w:t>
      </w:r>
      <w:r>
        <w:rPr>
          <w:rFonts w:asciiTheme="majorBidi" w:hAnsiTheme="majorBidi" w:cstheme="majorBidi"/>
        </w:rPr>
        <w:t xml:space="preserve"> from baseline to follow-up.</w:t>
      </w:r>
    </w:p>
    <w:p w14:paraId="1E135DCD" w14:textId="77777777" w:rsidR="001E0057" w:rsidRDefault="001E0057">
      <w:pPr>
        <w:rPr>
          <w:rFonts w:ascii="Times New Roman" w:hAnsi="Times New Roman"/>
          <w:b/>
          <w:bCs/>
        </w:rPr>
        <w:sectPr w:rsidR="001E0057" w:rsidSect="00F4381F">
          <w:pgSz w:w="16838" w:h="11906" w:orient="landscape"/>
          <w:pgMar w:top="1440" w:right="1440" w:bottom="1440" w:left="1440" w:header="708" w:footer="708" w:gutter="0"/>
          <w:cols w:space="708"/>
          <w:docGrid w:linePitch="360"/>
        </w:sectPr>
      </w:pPr>
    </w:p>
    <w:p w14:paraId="175BBA6D" w14:textId="77777777" w:rsidR="001E0057" w:rsidRPr="008F2447" w:rsidRDefault="001E0057" w:rsidP="001E0057">
      <w:pPr>
        <w:pStyle w:val="Caption"/>
        <w:spacing w:line="480" w:lineRule="auto"/>
        <w:rPr>
          <w:rFonts w:asciiTheme="majorBidi" w:hAnsiTheme="majorBidi" w:cstheme="majorBidi"/>
          <w:sz w:val="24"/>
          <w:szCs w:val="24"/>
        </w:rPr>
      </w:pPr>
      <w:r w:rsidRPr="008F2447">
        <w:rPr>
          <w:rFonts w:asciiTheme="majorBidi" w:hAnsiTheme="majorBidi" w:cstheme="majorBidi"/>
          <w:color w:val="auto"/>
          <w:sz w:val="24"/>
          <w:szCs w:val="24"/>
        </w:rPr>
        <w:lastRenderedPageBreak/>
        <w:t xml:space="preserve">Table </w:t>
      </w:r>
      <w:r>
        <w:rPr>
          <w:rFonts w:asciiTheme="majorBidi" w:hAnsiTheme="majorBidi" w:cstheme="majorBidi"/>
          <w:color w:val="auto"/>
          <w:sz w:val="24"/>
          <w:szCs w:val="24"/>
          <w:lang w:val="en-AU"/>
        </w:rPr>
        <w:t>5</w:t>
      </w:r>
      <w:r w:rsidRPr="008F2447">
        <w:rPr>
          <w:rFonts w:asciiTheme="majorBidi" w:hAnsiTheme="majorBidi" w:cstheme="majorBidi"/>
          <w:color w:val="auto"/>
          <w:sz w:val="24"/>
          <w:szCs w:val="24"/>
        </w:rPr>
        <w:t xml:space="preserve">. </w:t>
      </w:r>
      <w:r>
        <w:rPr>
          <w:rFonts w:asciiTheme="majorBidi" w:hAnsiTheme="majorBidi" w:cstheme="majorBidi"/>
          <w:color w:val="auto"/>
          <w:sz w:val="24"/>
          <w:szCs w:val="24"/>
        </w:rPr>
        <w:t>I</w:t>
      </w:r>
      <w:r w:rsidRPr="008F2447">
        <w:rPr>
          <w:rFonts w:asciiTheme="majorBidi" w:hAnsiTheme="majorBidi" w:cstheme="majorBidi"/>
          <w:color w:val="auto"/>
          <w:sz w:val="24"/>
          <w:szCs w:val="24"/>
        </w:rPr>
        <w:t xml:space="preserve">ncidence rate ratios </w:t>
      </w:r>
      <w:r>
        <w:rPr>
          <w:rFonts w:asciiTheme="majorBidi" w:hAnsiTheme="majorBidi" w:cstheme="majorBidi"/>
          <w:color w:val="auto"/>
          <w:sz w:val="24"/>
          <w:szCs w:val="24"/>
        </w:rPr>
        <w:t xml:space="preserve">(95% CI) </w:t>
      </w:r>
      <w:r w:rsidRPr="008F2447">
        <w:rPr>
          <w:rFonts w:asciiTheme="majorBidi" w:hAnsiTheme="majorBidi" w:cstheme="majorBidi"/>
          <w:color w:val="auto"/>
          <w:sz w:val="24"/>
          <w:szCs w:val="24"/>
        </w:rPr>
        <w:t xml:space="preserve">for self-reported </w:t>
      </w:r>
      <w:r>
        <w:rPr>
          <w:rFonts w:asciiTheme="majorBidi" w:hAnsiTheme="majorBidi" w:cstheme="majorBidi"/>
          <w:color w:val="auto"/>
          <w:sz w:val="24"/>
          <w:szCs w:val="24"/>
        </w:rPr>
        <w:t xml:space="preserve">non-vertebral </w:t>
      </w:r>
      <w:r w:rsidRPr="008F2447">
        <w:rPr>
          <w:rFonts w:asciiTheme="majorBidi" w:hAnsiTheme="majorBidi" w:cstheme="majorBidi"/>
          <w:color w:val="auto"/>
          <w:sz w:val="24"/>
          <w:szCs w:val="24"/>
        </w:rPr>
        <w:t xml:space="preserve">fractures over 10 years according to </w:t>
      </w:r>
      <w:proofErr w:type="spellStart"/>
      <w:r w:rsidRPr="008F2447">
        <w:rPr>
          <w:rFonts w:asciiTheme="majorBidi" w:hAnsiTheme="majorBidi" w:cstheme="majorBidi"/>
          <w:color w:val="auto"/>
          <w:sz w:val="24"/>
          <w:szCs w:val="24"/>
        </w:rPr>
        <w:t>sarcopenic</w:t>
      </w:r>
      <w:proofErr w:type="spellEnd"/>
      <w:r w:rsidRPr="008F2447">
        <w:rPr>
          <w:rFonts w:asciiTheme="majorBidi" w:hAnsiTheme="majorBidi" w:cstheme="majorBidi"/>
          <w:color w:val="auto"/>
          <w:sz w:val="24"/>
          <w:szCs w:val="24"/>
        </w:rPr>
        <w:t xml:space="preserve"> and </w:t>
      </w:r>
      <w:proofErr w:type="spellStart"/>
      <w:r w:rsidRPr="008F2447">
        <w:rPr>
          <w:rFonts w:asciiTheme="majorBidi" w:hAnsiTheme="majorBidi" w:cstheme="majorBidi"/>
          <w:color w:val="auto"/>
          <w:sz w:val="24"/>
          <w:szCs w:val="24"/>
        </w:rPr>
        <w:t>dynapenic</w:t>
      </w:r>
      <w:proofErr w:type="spellEnd"/>
      <w:r w:rsidRPr="008F2447">
        <w:rPr>
          <w:rFonts w:asciiTheme="majorBidi" w:hAnsiTheme="majorBidi" w:cstheme="majorBidi"/>
          <w:color w:val="auto"/>
          <w:sz w:val="24"/>
          <w:szCs w:val="24"/>
        </w:rPr>
        <w:t xml:space="preserve"> obesity</w:t>
      </w:r>
      <w:r>
        <w:rPr>
          <w:rFonts w:asciiTheme="majorBidi" w:hAnsiTheme="majorBidi" w:cstheme="majorBidi"/>
          <w:color w:val="auto"/>
          <w:sz w:val="24"/>
          <w:szCs w:val="24"/>
        </w:rPr>
        <w:t xml:space="preserve">, and combined </w:t>
      </w:r>
      <w:proofErr w:type="spellStart"/>
      <w:r>
        <w:rPr>
          <w:rFonts w:asciiTheme="majorBidi" w:hAnsiTheme="majorBidi" w:cstheme="majorBidi"/>
          <w:color w:val="auto"/>
          <w:sz w:val="24"/>
          <w:szCs w:val="24"/>
        </w:rPr>
        <w:t>sarcopenic</w:t>
      </w:r>
      <w:proofErr w:type="spellEnd"/>
      <w:r>
        <w:rPr>
          <w:rFonts w:asciiTheme="majorBidi" w:hAnsiTheme="majorBidi" w:cstheme="majorBidi"/>
          <w:color w:val="auto"/>
          <w:sz w:val="24"/>
          <w:szCs w:val="24"/>
        </w:rPr>
        <w:t xml:space="preserve"> and </w:t>
      </w:r>
      <w:proofErr w:type="spellStart"/>
      <w:r>
        <w:rPr>
          <w:rFonts w:asciiTheme="majorBidi" w:hAnsiTheme="majorBidi" w:cstheme="majorBidi"/>
          <w:color w:val="auto"/>
          <w:sz w:val="24"/>
          <w:szCs w:val="24"/>
        </w:rPr>
        <w:t>dynapenic</w:t>
      </w:r>
      <w:proofErr w:type="spellEnd"/>
      <w:r>
        <w:rPr>
          <w:rFonts w:asciiTheme="majorBidi" w:hAnsiTheme="majorBidi" w:cstheme="majorBidi"/>
          <w:color w:val="auto"/>
          <w:sz w:val="24"/>
          <w:szCs w:val="24"/>
        </w:rPr>
        <w:t xml:space="preserve"> obesity,</w:t>
      </w:r>
      <w:r w:rsidRPr="008F2447">
        <w:rPr>
          <w:rFonts w:asciiTheme="majorBidi" w:hAnsiTheme="majorBidi" w:cstheme="majorBidi"/>
          <w:color w:val="auto"/>
          <w:sz w:val="24"/>
          <w:szCs w:val="24"/>
        </w:rPr>
        <w:t xml:space="preserve"> categories.</w:t>
      </w:r>
    </w:p>
    <w:tbl>
      <w:tblPr>
        <w:tblStyle w:val="TableGrid"/>
        <w:tblW w:w="0" w:type="auto"/>
        <w:jc w:val="center"/>
        <w:tblLook w:val="04A0" w:firstRow="1" w:lastRow="0" w:firstColumn="1" w:lastColumn="0" w:noHBand="0" w:noVBand="1"/>
      </w:tblPr>
      <w:tblGrid>
        <w:gridCol w:w="2201"/>
        <w:gridCol w:w="2201"/>
        <w:gridCol w:w="2202"/>
        <w:gridCol w:w="2201"/>
        <w:gridCol w:w="2201"/>
        <w:gridCol w:w="2202"/>
      </w:tblGrid>
      <w:tr w:rsidR="001E0057" w:rsidRPr="008F2447" w14:paraId="191AFBA5" w14:textId="77777777" w:rsidTr="003011AA">
        <w:trPr>
          <w:jc w:val="center"/>
        </w:trPr>
        <w:tc>
          <w:tcPr>
            <w:tcW w:w="13208" w:type="dxa"/>
            <w:gridSpan w:val="6"/>
            <w:tcBorders>
              <w:top w:val="single" w:sz="18" w:space="0" w:color="auto"/>
              <w:left w:val="nil"/>
              <w:bottom w:val="single" w:sz="18" w:space="0" w:color="auto"/>
              <w:right w:val="nil"/>
            </w:tcBorders>
            <w:shd w:val="clear" w:color="auto" w:fill="BFBFBF" w:themeFill="background1" w:themeFillShade="BF"/>
            <w:vAlign w:val="center"/>
          </w:tcPr>
          <w:p w14:paraId="350B99E0"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b/>
                <w:bCs/>
                <w:i/>
              </w:rPr>
              <w:t>Males</w:t>
            </w:r>
          </w:p>
        </w:tc>
      </w:tr>
      <w:tr w:rsidR="001E0057" w:rsidRPr="008F2447" w14:paraId="2BEA4C9D" w14:textId="77777777" w:rsidTr="003011AA">
        <w:trPr>
          <w:trHeight w:val="1816"/>
          <w:jc w:val="center"/>
        </w:trPr>
        <w:tc>
          <w:tcPr>
            <w:tcW w:w="2201" w:type="dxa"/>
            <w:tcBorders>
              <w:top w:val="single" w:sz="18" w:space="0" w:color="auto"/>
              <w:left w:val="nil"/>
              <w:bottom w:val="single" w:sz="18" w:space="0" w:color="auto"/>
            </w:tcBorders>
            <w:shd w:val="clear" w:color="auto" w:fill="BFBFBF" w:themeFill="background1" w:themeFillShade="BF"/>
            <w:vAlign w:val="center"/>
          </w:tcPr>
          <w:p w14:paraId="3B34B78B" w14:textId="77777777" w:rsidR="001E0057" w:rsidRPr="008F2447" w:rsidRDefault="001E0057" w:rsidP="003011AA">
            <w:pPr>
              <w:spacing w:line="480" w:lineRule="auto"/>
              <w:jc w:val="center"/>
              <w:rPr>
                <w:rFonts w:asciiTheme="majorBidi" w:hAnsiTheme="majorBidi" w:cstheme="majorBidi"/>
              </w:rPr>
            </w:pPr>
          </w:p>
        </w:tc>
        <w:tc>
          <w:tcPr>
            <w:tcW w:w="2201" w:type="dxa"/>
            <w:tcBorders>
              <w:top w:val="single" w:sz="18" w:space="0" w:color="auto"/>
              <w:bottom w:val="single" w:sz="18" w:space="0" w:color="auto"/>
            </w:tcBorders>
            <w:shd w:val="clear" w:color="auto" w:fill="BFBFBF" w:themeFill="background1" w:themeFillShade="BF"/>
            <w:vAlign w:val="center"/>
          </w:tcPr>
          <w:p w14:paraId="707217B9" w14:textId="77777777" w:rsidR="001E005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xml:space="preserve">, non-obese </w:t>
            </w:r>
          </w:p>
          <w:p w14:paraId="6405184E" w14:textId="77777777" w:rsidR="001E0057" w:rsidRPr="00A70630" w:rsidRDefault="001E0057" w:rsidP="003011AA">
            <w:pPr>
              <w:spacing w:line="480" w:lineRule="auto"/>
              <w:jc w:val="center"/>
              <w:rPr>
                <w:rFonts w:asciiTheme="majorBidi" w:hAnsiTheme="majorBidi" w:cstheme="majorBidi"/>
              </w:rPr>
            </w:pPr>
            <w:r w:rsidRPr="008F2447">
              <w:rPr>
                <w:rFonts w:asciiTheme="majorBidi" w:hAnsiTheme="majorBidi" w:cstheme="majorBidi"/>
                <w:lang w:val="it-IT"/>
              </w:rPr>
              <w:t>N=</w:t>
            </w:r>
            <w:r>
              <w:rPr>
                <w:rFonts w:asciiTheme="majorBidi" w:hAnsiTheme="majorBidi" w:cstheme="majorBidi"/>
                <w:lang w:val="it-IT"/>
              </w:rPr>
              <w:t>134</w:t>
            </w:r>
          </w:p>
        </w:tc>
        <w:tc>
          <w:tcPr>
            <w:tcW w:w="2202" w:type="dxa"/>
            <w:tcBorders>
              <w:top w:val="single" w:sz="18" w:space="0" w:color="auto"/>
              <w:bottom w:val="single" w:sz="18" w:space="0" w:color="auto"/>
            </w:tcBorders>
            <w:shd w:val="clear" w:color="auto" w:fill="BFBFBF" w:themeFill="background1" w:themeFillShade="BF"/>
            <w:vAlign w:val="center"/>
          </w:tcPr>
          <w:p w14:paraId="32824B2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4B8A7A8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70</w:t>
            </w:r>
          </w:p>
        </w:tc>
        <w:tc>
          <w:tcPr>
            <w:tcW w:w="2201" w:type="dxa"/>
            <w:tcBorders>
              <w:top w:val="single" w:sz="18" w:space="0" w:color="auto"/>
              <w:bottom w:val="single" w:sz="18" w:space="0" w:color="auto"/>
            </w:tcBorders>
            <w:shd w:val="clear" w:color="auto" w:fill="BFBFBF" w:themeFill="background1" w:themeFillShade="BF"/>
            <w:vAlign w:val="center"/>
          </w:tcPr>
          <w:p w14:paraId="1A8A5E17"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w:t>
            </w:r>
          </w:p>
          <w:p w14:paraId="494846D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50</w:t>
            </w:r>
          </w:p>
        </w:tc>
        <w:tc>
          <w:tcPr>
            <w:tcW w:w="2201" w:type="dxa"/>
            <w:tcBorders>
              <w:top w:val="single" w:sz="18" w:space="0" w:color="auto"/>
              <w:bottom w:val="single" w:sz="18" w:space="0" w:color="auto"/>
            </w:tcBorders>
            <w:shd w:val="clear" w:color="auto" w:fill="BFBFBF" w:themeFill="background1" w:themeFillShade="BF"/>
            <w:vAlign w:val="center"/>
          </w:tcPr>
          <w:p w14:paraId="74D164B6"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2011A17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27</w:t>
            </w:r>
          </w:p>
        </w:tc>
        <w:tc>
          <w:tcPr>
            <w:tcW w:w="2202" w:type="dxa"/>
            <w:tcBorders>
              <w:top w:val="single" w:sz="18" w:space="0" w:color="auto"/>
              <w:bottom w:val="single" w:sz="18" w:space="0" w:color="auto"/>
              <w:right w:val="nil"/>
            </w:tcBorders>
            <w:shd w:val="clear" w:color="auto" w:fill="BFBFBF" w:themeFill="background1" w:themeFillShade="BF"/>
            <w:vAlign w:val="center"/>
          </w:tcPr>
          <w:p w14:paraId="5F6B215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i/>
              </w:rPr>
              <w:t>SO vs O^</w:t>
            </w:r>
          </w:p>
        </w:tc>
      </w:tr>
      <w:tr w:rsidR="001E0057" w:rsidRPr="008F2447" w14:paraId="291907E9" w14:textId="77777777" w:rsidTr="003011AA">
        <w:trPr>
          <w:jc w:val="center"/>
        </w:trPr>
        <w:tc>
          <w:tcPr>
            <w:tcW w:w="2201" w:type="dxa"/>
            <w:tcBorders>
              <w:top w:val="single" w:sz="18" w:space="0" w:color="auto"/>
              <w:left w:val="nil"/>
            </w:tcBorders>
            <w:vAlign w:val="center"/>
          </w:tcPr>
          <w:p w14:paraId="5689E63F"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1</w:t>
            </w:r>
          </w:p>
        </w:tc>
        <w:tc>
          <w:tcPr>
            <w:tcW w:w="2201" w:type="dxa"/>
            <w:tcBorders>
              <w:top w:val="single" w:sz="18" w:space="0" w:color="auto"/>
            </w:tcBorders>
            <w:vAlign w:val="center"/>
          </w:tcPr>
          <w:p w14:paraId="0352D61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tcBorders>
              <w:top w:val="single" w:sz="18" w:space="0" w:color="auto"/>
            </w:tcBorders>
            <w:vAlign w:val="center"/>
          </w:tcPr>
          <w:p w14:paraId="1BEC8DC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82 (0.43, 1</w:t>
            </w:r>
            <w:r w:rsidRPr="008F2447">
              <w:rPr>
                <w:rFonts w:asciiTheme="majorBidi" w:hAnsiTheme="majorBidi" w:cstheme="majorBidi"/>
              </w:rPr>
              <w:t>.</w:t>
            </w:r>
            <w:r>
              <w:rPr>
                <w:rFonts w:asciiTheme="majorBidi" w:hAnsiTheme="majorBidi" w:cstheme="majorBidi"/>
              </w:rPr>
              <w:t>57</w:t>
            </w:r>
            <w:r w:rsidRPr="008F2447">
              <w:rPr>
                <w:rFonts w:asciiTheme="majorBidi" w:hAnsiTheme="majorBidi" w:cstheme="majorBidi"/>
              </w:rPr>
              <w:t>)</w:t>
            </w:r>
          </w:p>
        </w:tc>
        <w:tc>
          <w:tcPr>
            <w:tcW w:w="2201" w:type="dxa"/>
            <w:tcBorders>
              <w:top w:val="single" w:sz="18" w:space="0" w:color="auto"/>
            </w:tcBorders>
            <w:vAlign w:val="center"/>
          </w:tcPr>
          <w:p w14:paraId="5D078EB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88 (0.</w:t>
            </w:r>
            <w:r w:rsidRPr="008F2447">
              <w:rPr>
                <w:rFonts w:asciiTheme="majorBidi" w:hAnsiTheme="majorBidi" w:cstheme="majorBidi"/>
              </w:rPr>
              <w:t>4</w:t>
            </w:r>
            <w:r>
              <w:rPr>
                <w:rFonts w:asciiTheme="majorBidi" w:hAnsiTheme="majorBidi" w:cstheme="majorBidi"/>
              </w:rPr>
              <w:t>3</w:t>
            </w:r>
            <w:r w:rsidRPr="008F2447">
              <w:rPr>
                <w:rFonts w:asciiTheme="majorBidi" w:hAnsiTheme="majorBidi" w:cstheme="majorBidi"/>
              </w:rPr>
              <w:t>, 1.</w:t>
            </w:r>
            <w:r>
              <w:rPr>
                <w:rFonts w:asciiTheme="majorBidi" w:hAnsiTheme="majorBidi" w:cstheme="majorBidi"/>
              </w:rPr>
              <w:t>81</w:t>
            </w:r>
            <w:r w:rsidRPr="008F2447">
              <w:rPr>
                <w:rFonts w:asciiTheme="majorBidi" w:hAnsiTheme="majorBidi" w:cstheme="majorBidi"/>
              </w:rPr>
              <w:t>)</w:t>
            </w:r>
          </w:p>
        </w:tc>
        <w:tc>
          <w:tcPr>
            <w:tcW w:w="2201" w:type="dxa"/>
            <w:tcBorders>
              <w:top w:val="single" w:sz="18" w:space="0" w:color="auto"/>
            </w:tcBorders>
            <w:vAlign w:val="center"/>
          </w:tcPr>
          <w:p w14:paraId="05FBE725"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3.03 (1.66, 5.51)</w:t>
            </w:r>
          </w:p>
        </w:tc>
        <w:tc>
          <w:tcPr>
            <w:tcW w:w="2202" w:type="dxa"/>
            <w:tcBorders>
              <w:top w:val="single" w:sz="18" w:space="0" w:color="auto"/>
              <w:right w:val="nil"/>
            </w:tcBorders>
            <w:vAlign w:val="center"/>
          </w:tcPr>
          <w:p w14:paraId="2BDF1AEF"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3.70 (1.78, 7.67)</w:t>
            </w:r>
          </w:p>
        </w:tc>
      </w:tr>
      <w:tr w:rsidR="001E0057" w:rsidRPr="008F2447" w14:paraId="4FE4C186" w14:textId="77777777" w:rsidTr="003011AA">
        <w:trPr>
          <w:jc w:val="center"/>
        </w:trPr>
        <w:tc>
          <w:tcPr>
            <w:tcW w:w="2201" w:type="dxa"/>
            <w:tcBorders>
              <w:left w:val="nil"/>
            </w:tcBorders>
            <w:vAlign w:val="center"/>
          </w:tcPr>
          <w:p w14:paraId="40513B41"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2</w:t>
            </w:r>
          </w:p>
        </w:tc>
        <w:tc>
          <w:tcPr>
            <w:tcW w:w="2201" w:type="dxa"/>
            <w:vAlign w:val="center"/>
          </w:tcPr>
          <w:p w14:paraId="075AFCA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vAlign w:val="center"/>
          </w:tcPr>
          <w:p w14:paraId="489AD2C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85 (0.44, 1</w:t>
            </w:r>
            <w:r w:rsidRPr="008F2447">
              <w:rPr>
                <w:rFonts w:asciiTheme="majorBidi" w:hAnsiTheme="majorBidi" w:cstheme="majorBidi"/>
              </w:rPr>
              <w:t>.</w:t>
            </w:r>
            <w:r>
              <w:rPr>
                <w:rFonts w:asciiTheme="majorBidi" w:hAnsiTheme="majorBidi" w:cstheme="majorBidi"/>
              </w:rPr>
              <w:t>63</w:t>
            </w:r>
            <w:r w:rsidRPr="008F2447">
              <w:rPr>
                <w:rFonts w:asciiTheme="majorBidi" w:hAnsiTheme="majorBidi" w:cstheme="majorBidi"/>
              </w:rPr>
              <w:t>)</w:t>
            </w:r>
          </w:p>
        </w:tc>
        <w:tc>
          <w:tcPr>
            <w:tcW w:w="2201" w:type="dxa"/>
            <w:vAlign w:val="center"/>
          </w:tcPr>
          <w:p w14:paraId="7694124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83 (0.</w:t>
            </w:r>
            <w:r w:rsidRPr="008F2447">
              <w:rPr>
                <w:rFonts w:asciiTheme="majorBidi" w:hAnsiTheme="majorBidi" w:cstheme="majorBidi"/>
              </w:rPr>
              <w:t>4</w:t>
            </w:r>
            <w:r>
              <w:rPr>
                <w:rFonts w:asciiTheme="majorBidi" w:hAnsiTheme="majorBidi" w:cstheme="majorBidi"/>
              </w:rPr>
              <w:t>0</w:t>
            </w:r>
            <w:r w:rsidRPr="008F2447">
              <w:rPr>
                <w:rFonts w:asciiTheme="majorBidi" w:hAnsiTheme="majorBidi" w:cstheme="majorBidi"/>
              </w:rPr>
              <w:t>, 1.</w:t>
            </w:r>
            <w:r>
              <w:rPr>
                <w:rFonts w:asciiTheme="majorBidi" w:hAnsiTheme="majorBidi" w:cstheme="majorBidi"/>
              </w:rPr>
              <w:t>72</w:t>
            </w:r>
            <w:r w:rsidRPr="008F2447">
              <w:rPr>
                <w:rFonts w:asciiTheme="majorBidi" w:hAnsiTheme="majorBidi" w:cstheme="majorBidi"/>
              </w:rPr>
              <w:t>)</w:t>
            </w:r>
          </w:p>
        </w:tc>
        <w:tc>
          <w:tcPr>
            <w:tcW w:w="2201" w:type="dxa"/>
            <w:vAlign w:val="center"/>
          </w:tcPr>
          <w:p w14:paraId="298DF14E" w14:textId="77777777" w:rsidR="001E0057" w:rsidRPr="008F2447" w:rsidRDefault="001E0057" w:rsidP="003011AA">
            <w:pPr>
              <w:spacing w:line="480" w:lineRule="auto"/>
              <w:jc w:val="center"/>
              <w:rPr>
                <w:rFonts w:asciiTheme="majorBidi" w:hAnsiTheme="majorBidi" w:cstheme="majorBidi"/>
              </w:rPr>
            </w:pPr>
            <w:r w:rsidRPr="00DF7950">
              <w:rPr>
                <w:rFonts w:asciiTheme="majorBidi" w:hAnsiTheme="majorBidi" w:cstheme="majorBidi"/>
                <w:b/>
                <w:bCs/>
              </w:rPr>
              <w:t>3.03 (1.66, 5.51)</w:t>
            </w:r>
          </w:p>
        </w:tc>
        <w:tc>
          <w:tcPr>
            <w:tcW w:w="2202" w:type="dxa"/>
            <w:tcBorders>
              <w:right w:val="nil"/>
            </w:tcBorders>
            <w:vAlign w:val="center"/>
          </w:tcPr>
          <w:p w14:paraId="456F0A23"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3.56 (1.71, 7.40)</w:t>
            </w:r>
          </w:p>
        </w:tc>
      </w:tr>
      <w:tr w:rsidR="001E0057" w:rsidRPr="008F2447" w14:paraId="12A3C2AD" w14:textId="77777777" w:rsidTr="003011AA">
        <w:trPr>
          <w:jc w:val="center"/>
        </w:trPr>
        <w:tc>
          <w:tcPr>
            <w:tcW w:w="2201" w:type="dxa"/>
            <w:tcBorders>
              <w:left w:val="nil"/>
            </w:tcBorders>
            <w:shd w:val="clear" w:color="auto" w:fill="BFBFBF" w:themeFill="background1" w:themeFillShade="BF"/>
            <w:vAlign w:val="center"/>
          </w:tcPr>
          <w:p w14:paraId="15E0FF3C" w14:textId="77777777" w:rsidR="001E0057" w:rsidRPr="008F2447" w:rsidRDefault="001E0057" w:rsidP="003011AA">
            <w:pPr>
              <w:spacing w:line="480" w:lineRule="auto"/>
              <w:jc w:val="center"/>
              <w:rPr>
                <w:rFonts w:asciiTheme="majorBidi" w:hAnsiTheme="majorBidi" w:cstheme="majorBidi"/>
              </w:rPr>
            </w:pPr>
          </w:p>
        </w:tc>
        <w:tc>
          <w:tcPr>
            <w:tcW w:w="2201" w:type="dxa"/>
            <w:shd w:val="clear" w:color="auto" w:fill="BFBFBF" w:themeFill="background1" w:themeFillShade="BF"/>
            <w:vAlign w:val="center"/>
          </w:tcPr>
          <w:p w14:paraId="73AC5432" w14:textId="77777777" w:rsidR="001E005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xml:space="preserve">, non-obese </w:t>
            </w:r>
          </w:p>
          <w:p w14:paraId="3526F33B" w14:textId="77777777" w:rsidR="001E0057" w:rsidRPr="00A70630" w:rsidRDefault="001E0057" w:rsidP="003011AA">
            <w:pPr>
              <w:spacing w:line="480" w:lineRule="auto"/>
              <w:jc w:val="center"/>
              <w:rPr>
                <w:rFonts w:asciiTheme="majorBidi" w:hAnsiTheme="majorBidi" w:cstheme="majorBidi"/>
              </w:rPr>
            </w:pPr>
            <w:r w:rsidRPr="008F2447">
              <w:rPr>
                <w:rFonts w:asciiTheme="majorBidi" w:hAnsiTheme="majorBidi" w:cstheme="majorBidi"/>
                <w:lang w:val="it-IT"/>
              </w:rPr>
              <w:t>N=</w:t>
            </w:r>
            <w:r>
              <w:rPr>
                <w:rFonts w:asciiTheme="majorBidi" w:hAnsiTheme="majorBidi" w:cstheme="majorBidi"/>
                <w:lang w:val="it-IT"/>
              </w:rPr>
              <w:t>122</w:t>
            </w:r>
          </w:p>
        </w:tc>
        <w:tc>
          <w:tcPr>
            <w:tcW w:w="2202" w:type="dxa"/>
            <w:shd w:val="clear" w:color="auto" w:fill="BFBFBF" w:themeFill="background1" w:themeFillShade="BF"/>
            <w:vAlign w:val="center"/>
          </w:tcPr>
          <w:p w14:paraId="324DFC0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74CA20A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69</w:t>
            </w:r>
          </w:p>
        </w:tc>
        <w:tc>
          <w:tcPr>
            <w:tcW w:w="2201" w:type="dxa"/>
            <w:shd w:val="clear" w:color="auto" w:fill="BFBFBF" w:themeFill="background1" w:themeFillShade="BF"/>
            <w:vAlign w:val="center"/>
          </w:tcPr>
          <w:p w14:paraId="0952D85F" w14:textId="77777777" w:rsidR="001E005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w:t>
            </w:r>
          </w:p>
          <w:p w14:paraId="4A436F2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61</w:t>
            </w:r>
          </w:p>
        </w:tc>
        <w:tc>
          <w:tcPr>
            <w:tcW w:w="2201" w:type="dxa"/>
            <w:shd w:val="clear" w:color="auto" w:fill="BFBFBF" w:themeFill="background1" w:themeFillShade="BF"/>
            <w:vAlign w:val="center"/>
          </w:tcPr>
          <w:p w14:paraId="180D1A2B"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49B1B10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24</w:t>
            </w:r>
          </w:p>
        </w:tc>
        <w:tc>
          <w:tcPr>
            <w:tcW w:w="2202" w:type="dxa"/>
            <w:tcBorders>
              <w:right w:val="nil"/>
            </w:tcBorders>
            <w:shd w:val="clear" w:color="auto" w:fill="BFBFBF" w:themeFill="background1" w:themeFillShade="BF"/>
            <w:vAlign w:val="center"/>
          </w:tcPr>
          <w:p w14:paraId="40E0FF0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i/>
              </w:rPr>
              <w:t>DO vs O^</w:t>
            </w:r>
          </w:p>
        </w:tc>
      </w:tr>
      <w:tr w:rsidR="001E0057" w:rsidRPr="008F2447" w14:paraId="7477101D" w14:textId="77777777" w:rsidTr="003011AA">
        <w:trPr>
          <w:jc w:val="center"/>
        </w:trPr>
        <w:tc>
          <w:tcPr>
            <w:tcW w:w="2201" w:type="dxa"/>
            <w:tcBorders>
              <w:left w:val="nil"/>
            </w:tcBorders>
            <w:vAlign w:val="center"/>
          </w:tcPr>
          <w:p w14:paraId="2F701D3F"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1</w:t>
            </w:r>
          </w:p>
        </w:tc>
        <w:tc>
          <w:tcPr>
            <w:tcW w:w="2201" w:type="dxa"/>
            <w:vAlign w:val="center"/>
          </w:tcPr>
          <w:p w14:paraId="7B1ECEC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vAlign w:val="center"/>
          </w:tcPr>
          <w:p w14:paraId="67EFA0C7"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1.32</w:t>
            </w:r>
            <w:r w:rsidRPr="008F2447">
              <w:rPr>
                <w:rFonts w:asciiTheme="majorBidi" w:hAnsiTheme="majorBidi" w:cstheme="majorBidi"/>
              </w:rPr>
              <w:t xml:space="preserve"> (0.</w:t>
            </w:r>
            <w:r>
              <w:rPr>
                <w:rFonts w:asciiTheme="majorBidi" w:hAnsiTheme="majorBidi" w:cstheme="majorBidi"/>
              </w:rPr>
              <w:t>7</w:t>
            </w:r>
            <w:r w:rsidRPr="008F2447">
              <w:rPr>
                <w:rFonts w:asciiTheme="majorBidi" w:hAnsiTheme="majorBidi" w:cstheme="majorBidi"/>
              </w:rPr>
              <w:t xml:space="preserve">9, </w:t>
            </w:r>
            <w:r>
              <w:rPr>
                <w:rFonts w:asciiTheme="majorBidi" w:hAnsiTheme="majorBidi" w:cstheme="majorBidi"/>
              </w:rPr>
              <w:t>2</w:t>
            </w:r>
            <w:r w:rsidRPr="008F2447">
              <w:rPr>
                <w:rFonts w:asciiTheme="majorBidi" w:hAnsiTheme="majorBidi" w:cstheme="majorBidi"/>
              </w:rPr>
              <w:t>.</w:t>
            </w:r>
            <w:r>
              <w:rPr>
                <w:rFonts w:asciiTheme="majorBidi" w:hAnsiTheme="majorBidi" w:cstheme="majorBidi"/>
              </w:rPr>
              <w:t>19</w:t>
            </w:r>
            <w:r w:rsidRPr="008F2447">
              <w:rPr>
                <w:rFonts w:asciiTheme="majorBidi" w:hAnsiTheme="majorBidi" w:cstheme="majorBidi"/>
              </w:rPr>
              <w:t>)</w:t>
            </w:r>
          </w:p>
        </w:tc>
        <w:tc>
          <w:tcPr>
            <w:tcW w:w="2201" w:type="dxa"/>
            <w:vAlign w:val="center"/>
          </w:tcPr>
          <w:p w14:paraId="6EF7CF20"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0.30 (0.13, 0.74)</w:t>
            </w:r>
          </w:p>
        </w:tc>
        <w:tc>
          <w:tcPr>
            <w:tcW w:w="2201" w:type="dxa"/>
            <w:vAlign w:val="center"/>
          </w:tcPr>
          <w:p w14:paraId="33D200D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67</w:t>
            </w:r>
            <w:r w:rsidRPr="008F2447">
              <w:rPr>
                <w:rFonts w:asciiTheme="majorBidi" w:hAnsiTheme="majorBidi" w:cstheme="majorBidi"/>
              </w:rPr>
              <w:t xml:space="preserve"> (0.</w:t>
            </w:r>
            <w:r>
              <w:rPr>
                <w:rFonts w:asciiTheme="majorBidi" w:hAnsiTheme="majorBidi" w:cstheme="majorBidi"/>
              </w:rPr>
              <w:t>26</w:t>
            </w:r>
            <w:r w:rsidRPr="008F2447">
              <w:rPr>
                <w:rFonts w:asciiTheme="majorBidi" w:hAnsiTheme="majorBidi" w:cstheme="majorBidi"/>
              </w:rPr>
              <w:t>, 1.</w:t>
            </w:r>
            <w:r>
              <w:rPr>
                <w:rFonts w:asciiTheme="majorBidi" w:hAnsiTheme="majorBidi" w:cstheme="majorBidi"/>
              </w:rPr>
              <w:t>73</w:t>
            </w:r>
            <w:r w:rsidRPr="008F2447">
              <w:rPr>
                <w:rFonts w:asciiTheme="majorBidi" w:hAnsiTheme="majorBidi" w:cstheme="majorBidi"/>
              </w:rPr>
              <w:t>)</w:t>
            </w:r>
          </w:p>
        </w:tc>
        <w:tc>
          <w:tcPr>
            <w:tcW w:w="2202" w:type="dxa"/>
            <w:tcBorders>
              <w:right w:val="nil"/>
            </w:tcBorders>
            <w:vAlign w:val="center"/>
          </w:tcPr>
          <w:p w14:paraId="1A77795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51</w:t>
            </w:r>
            <w:r w:rsidRPr="008F2447">
              <w:rPr>
                <w:rFonts w:asciiTheme="majorBidi" w:hAnsiTheme="majorBidi" w:cstheme="majorBidi"/>
              </w:rPr>
              <w:t xml:space="preserve"> (0.</w:t>
            </w:r>
            <w:r>
              <w:rPr>
                <w:rFonts w:asciiTheme="majorBidi" w:hAnsiTheme="majorBidi" w:cstheme="majorBidi"/>
              </w:rPr>
              <w:t>19</w:t>
            </w:r>
            <w:r w:rsidRPr="008F2447">
              <w:rPr>
                <w:rFonts w:asciiTheme="majorBidi" w:hAnsiTheme="majorBidi" w:cstheme="majorBidi"/>
              </w:rPr>
              <w:t>, 1.</w:t>
            </w:r>
            <w:r>
              <w:rPr>
                <w:rFonts w:asciiTheme="majorBidi" w:hAnsiTheme="majorBidi" w:cstheme="majorBidi"/>
              </w:rPr>
              <w:t>34</w:t>
            </w:r>
            <w:r w:rsidRPr="008F2447">
              <w:rPr>
                <w:rFonts w:asciiTheme="majorBidi" w:hAnsiTheme="majorBidi" w:cstheme="majorBidi"/>
              </w:rPr>
              <w:t>)</w:t>
            </w:r>
          </w:p>
        </w:tc>
      </w:tr>
      <w:tr w:rsidR="001E0057" w:rsidRPr="008F2447" w14:paraId="32604188" w14:textId="77777777" w:rsidTr="003011AA">
        <w:trPr>
          <w:jc w:val="center"/>
        </w:trPr>
        <w:tc>
          <w:tcPr>
            <w:tcW w:w="2201" w:type="dxa"/>
            <w:tcBorders>
              <w:left w:val="nil"/>
            </w:tcBorders>
            <w:vAlign w:val="center"/>
          </w:tcPr>
          <w:p w14:paraId="16B21F00"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2</w:t>
            </w:r>
          </w:p>
        </w:tc>
        <w:tc>
          <w:tcPr>
            <w:tcW w:w="2201" w:type="dxa"/>
            <w:vAlign w:val="center"/>
          </w:tcPr>
          <w:p w14:paraId="4A5BFD38"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vAlign w:val="center"/>
          </w:tcPr>
          <w:p w14:paraId="460E2C5A"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1.43</w:t>
            </w:r>
            <w:r w:rsidRPr="008F2447">
              <w:rPr>
                <w:rFonts w:asciiTheme="majorBidi" w:hAnsiTheme="majorBidi" w:cstheme="majorBidi"/>
              </w:rPr>
              <w:t xml:space="preserve"> (0.</w:t>
            </w:r>
            <w:r>
              <w:rPr>
                <w:rFonts w:asciiTheme="majorBidi" w:hAnsiTheme="majorBidi" w:cstheme="majorBidi"/>
              </w:rPr>
              <w:t>85</w:t>
            </w:r>
            <w:r w:rsidRPr="008F2447">
              <w:rPr>
                <w:rFonts w:asciiTheme="majorBidi" w:hAnsiTheme="majorBidi" w:cstheme="majorBidi"/>
              </w:rPr>
              <w:t xml:space="preserve">, </w:t>
            </w:r>
            <w:r>
              <w:rPr>
                <w:rFonts w:asciiTheme="majorBidi" w:hAnsiTheme="majorBidi" w:cstheme="majorBidi"/>
              </w:rPr>
              <w:t>2.39</w:t>
            </w:r>
            <w:r w:rsidRPr="008F2447">
              <w:rPr>
                <w:rFonts w:asciiTheme="majorBidi" w:hAnsiTheme="majorBidi" w:cstheme="majorBidi"/>
              </w:rPr>
              <w:t>)</w:t>
            </w:r>
          </w:p>
        </w:tc>
        <w:tc>
          <w:tcPr>
            <w:tcW w:w="2201" w:type="dxa"/>
            <w:vAlign w:val="center"/>
          </w:tcPr>
          <w:p w14:paraId="28C85ED3"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0.27 (0.11, 0.66)</w:t>
            </w:r>
          </w:p>
        </w:tc>
        <w:tc>
          <w:tcPr>
            <w:tcW w:w="2201" w:type="dxa"/>
            <w:vAlign w:val="center"/>
          </w:tcPr>
          <w:p w14:paraId="29EA8E3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66</w:t>
            </w:r>
            <w:r w:rsidRPr="008F2447">
              <w:rPr>
                <w:rFonts w:asciiTheme="majorBidi" w:hAnsiTheme="majorBidi" w:cstheme="majorBidi"/>
              </w:rPr>
              <w:t xml:space="preserve"> (0.</w:t>
            </w:r>
            <w:r>
              <w:rPr>
                <w:rFonts w:asciiTheme="majorBidi" w:hAnsiTheme="majorBidi" w:cstheme="majorBidi"/>
              </w:rPr>
              <w:t>25</w:t>
            </w:r>
            <w:r w:rsidRPr="008F2447">
              <w:rPr>
                <w:rFonts w:asciiTheme="majorBidi" w:hAnsiTheme="majorBidi" w:cstheme="majorBidi"/>
              </w:rPr>
              <w:t>, 1.</w:t>
            </w:r>
            <w:r>
              <w:rPr>
                <w:rFonts w:asciiTheme="majorBidi" w:hAnsiTheme="majorBidi" w:cstheme="majorBidi"/>
              </w:rPr>
              <w:t>71</w:t>
            </w:r>
            <w:r w:rsidRPr="008F2447">
              <w:rPr>
                <w:rFonts w:asciiTheme="majorBidi" w:hAnsiTheme="majorBidi" w:cstheme="majorBidi"/>
              </w:rPr>
              <w:t>)</w:t>
            </w:r>
          </w:p>
        </w:tc>
        <w:tc>
          <w:tcPr>
            <w:tcW w:w="2202" w:type="dxa"/>
            <w:tcBorders>
              <w:right w:val="nil"/>
            </w:tcBorders>
            <w:vAlign w:val="center"/>
          </w:tcPr>
          <w:p w14:paraId="265F558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70</w:t>
            </w:r>
            <w:r w:rsidRPr="008F2447">
              <w:rPr>
                <w:rFonts w:asciiTheme="majorBidi" w:hAnsiTheme="majorBidi" w:cstheme="majorBidi"/>
              </w:rPr>
              <w:t xml:space="preserve"> (0.</w:t>
            </w:r>
            <w:r>
              <w:rPr>
                <w:rFonts w:asciiTheme="majorBidi" w:hAnsiTheme="majorBidi" w:cstheme="majorBidi"/>
              </w:rPr>
              <w:t>42</w:t>
            </w:r>
            <w:r w:rsidRPr="008F2447">
              <w:rPr>
                <w:rFonts w:asciiTheme="majorBidi" w:hAnsiTheme="majorBidi" w:cstheme="majorBidi"/>
              </w:rPr>
              <w:t>, 1.</w:t>
            </w:r>
            <w:r>
              <w:rPr>
                <w:rFonts w:asciiTheme="majorBidi" w:hAnsiTheme="majorBidi" w:cstheme="majorBidi"/>
              </w:rPr>
              <w:t>17</w:t>
            </w:r>
            <w:r w:rsidRPr="008F2447">
              <w:rPr>
                <w:rFonts w:asciiTheme="majorBidi" w:hAnsiTheme="majorBidi" w:cstheme="majorBidi"/>
              </w:rPr>
              <w:t>)</w:t>
            </w:r>
          </w:p>
        </w:tc>
      </w:tr>
      <w:tr w:rsidR="001E0057" w:rsidRPr="008F2447" w14:paraId="17F334A5" w14:textId="77777777" w:rsidTr="003011AA">
        <w:trPr>
          <w:jc w:val="center"/>
        </w:trPr>
        <w:tc>
          <w:tcPr>
            <w:tcW w:w="2201" w:type="dxa"/>
            <w:tcBorders>
              <w:left w:val="nil"/>
            </w:tcBorders>
            <w:shd w:val="clear" w:color="auto" w:fill="BFBFBF" w:themeFill="background1" w:themeFillShade="BF"/>
            <w:vAlign w:val="center"/>
          </w:tcPr>
          <w:p w14:paraId="31BEC810" w14:textId="77777777" w:rsidR="001E0057" w:rsidRDefault="001E0057" w:rsidP="003011AA">
            <w:pPr>
              <w:spacing w:line="480" w:lineRule="auto"/>
              <w:jc w:val="center"/>
              <w:rPr>
                <w:rFonts w:asciiTheme="majorBidi" w:hAnsiTheme="majorBidi" w:cstheme="majorBidi"/>
              </w:rPr>
            </w:pPr>
          </w:p>
        </w:tc>
        <w:tc>
          <w:tcPr>
            <w:tcW w:w="2201" w:type="dxa"/>
            <w:shd w:val="clear" w:color="auto" w:fill="BFBFBF" w:themeFill="background1" w:themeFillShade="BF"/>
            <w:vAlign w:val="center"/>
          </w:tcPr>
          <w:p w14:paraId="7F0DD67D"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Pr>
                <w:rFonts w:asciiTheme="majorBidi" w:hAnsiTheme="majorBidi" w:cstheme="majorBidi"/>
                <w:lang w:val="it-IT"/>
              </w:rPr>
              <w:t xml:space="preserve"> and non-</w:t>
            </w:r>
            <w:proofErr w:type="spellStart"/>
            <w:r>
              <w:rPr>
                <w:rFonts w:asciiTheme="majorBidi" w:hAnsiTheme="majorBidi" w:cstheme="majorBidi"/>
                <w:lang w:val="it-IT"/>
              </w:rPr>
              <w:t>dynapenic</w:t>
            </w:r>
            <w:proofErr w:type="spellEnd"/>
            <w:r w:rsidRPr="008F2447">
              <w:rPr>
                <w:rFonts w:asciiTheme="majorBidi" w:hAnsiTheme="majorBidi" w:cstheme="majorBidi"/>
                <w:lang w:val="it-IT"/>
              </w:rPr>
              <w:t>, non-obese</w:t>
            </w:r>
          </w:p>
          <w:p w14:paraId="50EA80F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lang w:val="it-IT"/>
              </w:rPr>
              <w:t>N=</w:t>
            </w:r>
            <w:r>
              <w:rPr>
                <w:rFonts w:asciiTheme="majorBidi" w:hAnsiTheme="majorBidi" w:cstheme="majorBidi"/>
                <w:lang w:val="it-IT"/>
              </w:rPr>
              <w:t>94</w:t>
            </w:r>
          </w:p>
        </w:tc>
        <w:tc>
          <w:tcPr>
            <w:tcW w:w="2202" w:type="dxa"/>
            <w:shd w:val="clear" w:color="auto" w:fill="BFBFBF" w:themeFill="background1" w:themeFillShade="BF"/>
            <w:vAlign w:val="center"/>
          </w:tcPr>
          <w:p w14:paraId="4F62011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Pr>
                <w:rFonts w:asciiTheme="majorBidi" w:hAnsiTheme="majorBidi" w:cstheme="majorBidi"/>
              </w:rPr>
              <w:t xml:space="preserve"> and non-</w:t>
            </w:r>
            <w:proofErr w:type="spellStart"/>
            <w:r>
              <w:rPr>
                <w:rFonts w:asciiTheme="majorBidi" w:hAnsiTheme="majorBidi" w:cstheme="majorBidi"/>
              </w:rPr>
              <w:t>dynapenic</w:t>
            </w:r>
            <w:proofErr w:type="spellEnd"/>
            <w:r w:rsidRPr="008F2447">
              <w:rPr>
                <w:rFonts w:asciiTheme="majorBidi" w:hAnsiTheme="majorBidi" w:cstheme="majorBidi"/>
              </w:rPr>
              <w:t>, obese</w:t>
            </w:r>
          </w:p>
          <w:p w14:paraId="7DD15B4C" w14:textId="77777777" w:rsidR="001E0057" w:rsidRPr="008F2447" w:rsidDel="00E66E3E"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57</w:t>
            </w:r>
          </w:p>
        </w:tc>
        <w:tc>
          <w:tcPr>
            <w:tcW w:w="2201" w:type="dxa"/>
            <w:shd w:val="clear" w:color="auto" w:fill="BFBFBF" w:themeFill="background1" w:themeFillShade="BF"/>
            <w:vAlign w:val="center"/>
          </w:tcPr>
          <w:p w14:paraId="63A8616D" w14:textId="77777777" w:rsidR="001E005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xml:space="preserve">, non-obese </w:t>
            </w:r>
          </w:p>
          <w:p w14:paraId="4DAE8550" w14:textId="77777777" w:rsidR="001E0057" w:rsidRPr="007658CC" w:rsidRDefault="001E0057" w:rsidP="003011AA">
            <w:pPr>
              <w:spacing w:line="480" w:lineRule="auto"/>
              <w:jc w:val="center"/>
              <w:rPr>
                <w:rFonts w:asciiTheme="majorBidi" w:hAnsiTheme="majorBidi" w:cstheme="majorBidi"/>
                <w:b/>
                <w:bCs/>
              </w:rPr>
            </w:pPr>
            <w:r w:rsidRPr="008F2447">
              <w:rPr>
                <w:rFonts w:asciiTheme="majorBidi" w:hAnsiTheme="majorBidi" w:cstheme="majorBidi"/>
              </w:rPr>
              <w:t>N=</w:t>
            </w:r>
            <w:r>
              <w:rPr>
                <w:rFonts w:asciiTheme="majorBidi" w:hAnsiTheme="majorBidi" w:cstheme="majorBidi"/>
              </w:rPr>
              <w:t>22</w:t>
            </w:r>
          </w:p>
        </w:tc>
        <w:tc>
          <w:tcPr>
            <w:tcW w:w="2201" w:type="dxa"/>
            <w:shd w:val="clear" w:color="auto" w:fill="BFBFBF" w:themeFill="background1" w:themeFillShade="BF"/>
            <w:vAlign w:val="center"/>
          </w:tcPr>
          <w:p w14:paraId="3B3D2B6C"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xml:space="preserve"> obese</w:t>
            </w:r>
          </w:p>
          <w:p w14:paraId="34B7B48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14</w:t>
            </w:r>
          </w:p>
        </w:tc>
        <w:tc>
          <w:tcPr>
            <w:tcW w:w="2202" w:type="dxa"/>
            <w:tcBorders>
              <w:right w:val="nil"/>
            </w:tcBorders>
            <w:shd w:val="clear" w:color="auto" w:fill="BFBFBF" w:themeFill="background1" w:themeFillShade="BF"/>
            <w:vAlign w:val="center"/>
          </w:tcPr>
          <w:p w14:paraId="0694DD1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i/>
              </w:rPr>
              <w:t>S</w:t>
            </w:r>
            <w:r>
              <w:rPr>
                <w:rFonts w:asciiTheme="majorBidi" w:hAnsiTheme="majorBidi" w:cstheme="majorBidi"/>
                <w:i/>
              </w:rPr>
              <w:t>D</w:t>
            </w:r>
            <w:r w:rsidRPr="008F2447">
              <w:rPr>
                <w:rFonts w:asciiTheme="majorBidi" w:hAnsiTheme="majorBidi" w:cstheme="majorBidi"/>
                <w:i/>
              </w:rPr>
              <w:t>O vs O^</w:t>
            </w:r>
          </w:p>
        </w:tc>
      </w:tr>
      <w:tr w:rsidR="001E0057" w:rsidRPr="008F2447" w14:paraId="3A2E44DF" w14:textId="77777777" w:rsidTr="003011AA">
        <w:trPr>
          <w:jc w:val="center"/>
        </w:trPr>
        <w:tc>
          <w:tcPr>
            <w:tcW w:w="2201" w:type="dxa"/>
            <w:tcBorders>
              <w:left w:val="nil"/>
              <w:bottom w:val="single" w:sz="4" w:space="0" w:color="auto"/>
            </w:tcBorders>
            <w:vAlign w:val="center"/>
          </w:tcPr>
          <w:p w14:paraId="68375DA1" w14:textId="77777777" w:rsidR="001E0057" w:rsidRDefault="001E0057" w:rsidP="003011AA">
            <w:pPr>
              <w:spacing w:line="480" w:lineRule="auto"/>
              <w:jc w:val="center"/>
              <w:rPr>
                <w:rFonts w:asciiTheme="majorBidi" w:hAnsiTheme="majorBidi" w:cstheme="majorBidi"/>
              </w:rPr>
            </w:pPr>
            <w:r>
              <w:rPr>
                <w:rFonts w:asciiTheme="majorBidi" w:hAnsiTheme="majorBidi" w:cstheme="majorBidi"/>
              </w:rPr>
              <w:t>Model 1</w:t>
            </w:r>
          </w:p>
        </w:tc>
        <w:tc>
          <w:tcPr>
            <w:tcW w:w="2201" w:type="dxa"/>
            <w:tcBorders>
              <w:bottom w:val="single" w:sz="4" w:space="0" w:color="auto"/>
            </w:tcBorders>
            <w:vAlign w:val="center"/>
          </w:tcPr>
          <w:p w14:paraId="2F0FD277"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tcBorders>
              <w:bottom w:val="single" w:sz="4" w:space="0" w:color="auto"/>
            </w:tcBorders>
            <w:vAlign w:val="center"/>
          </w:tcPr>
          <w:p w14:paraId="0D09E511" w14:textId="77777777" w:rsidR="001E0057" w:rsidRPr="008F2447" w:rsidDel="00E66E3E"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74 (0.38, 1</w:t>
            </w:r>
            <w:r w:rsidRPr="008F2447">
              <w:rPr>
                <w:rFonts w:asciiTheme="majorBidi" w:hAnsiTheme="majorBidi" w:cstheme="majorBidi"/>
              </w:rPr>
              <w:t>.</w:t>
            </w:r>
            <w:r>
              <w:rPr>
                <w:rFonts w:asciiTheme="majorBidi" w:hAnsiTheme="majorBidi" w:cstheme="majorBidi"/>
              </w:rPr>
              <w:t>42</w:t>
            </w:r>
            <w:r w:rsidRPr="008F2447">
              <w:rPr>
                <w:rFonts w:asciiTheme="majorBidi" w:hAnsiTheme="majorBidi" w:cstheme="majorBidi"/>
              </w:rPr>
              <w:t>)</w:t>
            </w:r>
          </w:p>
        </w:tc>
        <w:tc>
          <w:tcPr>
            <w:tcW w:w="2201" w:type="dxa"/>
            <w:tcBorders>
              <w:bottom w:val="single" w:sz="4" w:space="0" w:color="auto"/>
            </w:tcBorders>
            <w:vAlign w:val="center"/>
          </w:tcPr>
          <w:p w14:paraId="4FA57BBE" w14:textId="77777777" w:rsidR="001E0057" w:rsidRPr="007658CC" w:rsidRDefault="001E0057" w:rsidP="003011AA">
            <w:pPr>
              <w:spacing w:line="480" w:lineRule="auto"/>
              <w:jc w:val="center"/>
              <w:rPr>
                <w:rFonts w:asciiTheme="majorBidi" w:hAnsiTheme="majorBidi" w:cstheme="majorBidi"/>
                <w:b/>
                <w:bCs/>
              </w:rPr>
            </w:pPr>
            <w:r w:rsidRPr="008F2447">
              <w:rPr>
                <w:rFonts w:asciiTheme="majorBidi" w:hAnsiTheme="majorBidi" w:cstheme="majorBidi"/>
              </w:rPr>
              <w:t>0.</w:t>
            </w:r>
            <w:r>
              <w:rPr>
                <w:rFonts w:asciiTheme="majorBidi" w:hAnsiTheme="majorBidi" w:cstheme="majorBidi"/>
              </w:rPr>
              <w:t>44 (0.15</w:t>
            </w:r>
            <w:r w:rsidRPr="008F2447">
              <w:rPr>
                <w:rFonts w:asciiTheme="majorBidi" w:hAnsiTheme="majorBidi" w:cstheme="majorBidi"/>
              </w:rPr>
              <w:t>, 1.</w:t>
            </w:r>
            <w:r>
              <w:rPr>
                <w:rFonts w:asciiTheme="majorBidi" w:hAnsiTheme="majorBidi" w:cstheme="majorBidi"/>
              </w:rPr>
              <w:t>30</w:t>
            </w:r>
            <w:r w:rsidRPr="008F2447">
              <w:rPr>
                <w:rFonts w:asciiTheme="majorBidi" w:hAnsiTheme="majorBidi" w:cstheme="majorBidi"/>
              </w:rPr>
              <w:t>)</w:t>
            </w:r>
          </w:p>
        </w:tc>
        <w:tc>
          <w:tcPr>
            <w:tcW w:w="2201" w:type="dxa"/>
            <w:tcBorders>
              <w:bottom w:val="single" w:sz="4" w:space="0" w:color="auto"/>
            </w:tcBorders>
            <w:vAlign w:val="center"/>
          </w:tcPr>
          <w:p w14:paraId="1A88F534" w14:textId="77777777" w:rsidR="001E0057" w:rsidRPr="008F2447" w:rsidRDefault="001E0057" w:rsidP="003011AA">
            <w:pPr>
              <w:spacing w:line="480" w:lineRule="auto"/>
              <w:jc w:val="center"/>
              <w:rPr>
                <w:rFonts w:asciiTheme="majorBidi" w:hAnsiTheme="majorBidi" w:cstheme="majorBidi"/>
              </w:rPr>
            </w:pPr>
            <w:r w:rsidRPr="00A63C35">
              <w:rPr>
                <w:rFonts w:asciiTheme="majorBidi" w:hAnsiTheme="majorBidi" w:cstheme="majorBidi"/>
              </w:rPr>
              <w:t>0.</w:t>
            </w:r>
            <w:r>
              <w:rPr>
                <w:rFonts w:asciiTheme="majorBidi" w:hAnsiTheme="majorBidi" w:cstheme="majorBidi"/>
              </w:rPr>
              <w:t>89</w:t>
            </w:r>
            <w:r w:rsidRPr="00A63C35">
              <w:rPr>
                <w:rFonts w:asciiTheme="majorBidi" w:hAnsiTheme="majorBidi" w:cstheme="majorBidi"/>
              </w:rPr>
              <w:t xml:space="preserve"> (</w:t>
            </w:r>
            <w:r>
              <w:rPr>
                <w:rFonts w:asciiTheme="majorBidi" w:hAnsiTheme="majorBidi" w:cstheme="majorBidi"/>
              </w:rPr>
              <w:t>0.33</w:t>
            </w:r>
            <w:r w:rsidRPr="00A63C35">
              <w:rPr>
                <w:rFonts w:asciiTheme="majorBidi" w:hAnsiTheme="majorBidi" w:cstheme="majorBidi"/>
              </w:rPr>
              <w:t xml:space="preserve">, </w:t>
            </w:r>
            <w:r>
              <w:rPr>
                <w:rFonts w:asciiTheme="majorBidi" w:hAnsiTheme="majorBidi" w:cstheme="majorBidi"/>
              </w:rPr>
              <w:t>2.36</w:t>
            </w:r>
            <w:r w:rsidRPr="00A63C35">
              <w:rPr>
                <w:rFonts w:asciiTheme="majorBidi" w:hAnsiTheme="majorBidi" w:cstheme="majorBidi"/>
              </w:rPr>
              <w:t>)</w:t>
            </w:r>
          </w:p>
        </w:tc>
        <w:tc>
          <w:tcPr>
            <w:tcW w:w="2202" w:type="dxa"/>
            <w:tcBorders>
              <w:bottom w:val="single" w:sz="4" w:space="0" w:color="auto"/>
              <w:right w:val="nil"/>
            </w:tcBorders>
            <w:vAlign w:val="center"/>
          </w:tcPr>
          <w:p w14:paraId="133382D1"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1.21</w:t>
            </w:r>
            <w:r w:rsidRPr="00A63C35">
              <w:rPr>
                <w:rFonts w:asciiTheme="majorBidi" w:hAnsiTheme="majorBidi" w:cstheme="majorBidi"/>
              </w:rPr>
              <w:t xml:space="preserve"> (0.</w:t>
            </w:r>
            <w:r>
              <w:rPr>
                <w:rFonts w:asciiTheme="majorBidi" w:hAnsiTheme="majorBidi" w:cstheme="majorBidi"/>
              </w:rPr>
              <w:t>42</w:t>
            </w:r>
            <w:r w:rsidRPr="00A63C35">
              <w:rPr>
                <w:rFonts w:asciiTheme="majorBidi" w:hAnsiTheme="majorBidi" w:cstheme="majorBidi"/>
              </w:rPr>
              <w:t xml:space="preserve">, </w:t>
            </w:r>
            <w:r>
              <w:rPr>
                <w:rFonts w:asciiTheme="majorBidi" w:hAnsiTheme="majorBidi" w:cstheme="majorBidi"/>
              </w:rPr>
              <w:t>3.47</w:t>
            </w:r>
            <w:r w:rsidRPr="00A63C35">
              <w:rPr>
                <w:rFonts w:asciiTheme="majorBidi" w:hAnsiTheme="majorBidi" w:cstheme="majorBidi"/>
              </w:rPr>
              <w:t>)</w:t>
            </w:r>
          </w:p>
        </w:tc>
      </w:tr>
      <w:tr w:rsidR="001E0057" w:rsidRPr="008F2447" w14:paraId="0290C973" w14:textId="77777777" w:rsidTr="003011AA">
        <w:trPr>
          <w:jc w:val="center"/>
        </w:trPr>
        <w:tc>
          <w:tcPr>
            <w:tcW w:w="2201" w:type="dxa"/>
            <w:tcBorders>
              <w:left w:val="nil"/>
              <w:bottom w:val="single" w:sz="18" w:space="0" w:color="auto"/>
            </w:tcBorders>
            <w:vAlign w:val="center"/>
          </w:tcPr>
          <w:p w14:paraId="1C14FAA7" w14:textId="77777777" w:rsidR="001E0057" w:rsidRDefault="001E0057" w:rsidP="003011AA">
            <w:pPr>
              <w:spacing w:line="480" w:lineRule="auto"/>
              <w:jc w:val="center"/>
              <w:rPr>
                <w:rFonts w:asciiTheme="majorBidi" w:hAnsiTheme="majorBidi" w:cstheme="majorBidi"/>
              </w:rPr>
            </w:pPr>
            <w:r>
              <w:rPr>
                <w:rFonts w:asciiTheme="majorBidi" w:hAnsiTheme="majorBidi" w:cstheme="majorBidi"/>
              </w:rPr>
              <w:t>Model 2</w:t>
            </w:r>
          </w:p>
        </w:tc>
        <w:tc>
          <w:tcPr>
            <w:tcW w:w="2201" w:type="dxa"/>
            <w:tcBorders>
              <w:bottom w:val="single" w:sz="18" w:space="0" w:color="auto"/>
            </w:tcBorders>
            <w:vAlign w:val="center"/>
          </w:tcPr>
          <w:p w14:paraId="6BE091C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tcBorders>
              <w:bottom w:val="single" w:sz="18" w:space="0" w:color="auto"/>
            </w:tcBorders>
            <w:vAlign w:val="center"/>
          </w:tcPr>
          <w:p w14:paraId="2144CF6A" w14:textId="77777777" w:rsidR="001E0057" w:rsidRPr="008F2447" w:rsidDel="00E66E3E"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71 (0.36, 1</w:t>
            </w:r>
            <w:r w:rsidRPr="008F2447">
              <w:rPr>
                <w:rFonts w:asciiTheme="majorBidi" w:hAnsiTheme="majorBidi" w:cstheme="majorBidi"/>
              </w:rPr>
              <w:t>.</w:t>
            </w:r>
            <w:r>
              <w:rPr>
                <w:rFonts w:asciiTheme="majorBidi" w:hAnsiTheme="majorBidi" w:cstheme="majorBidi"/>
              </w:rPr>
              <w:t>37</w:t>
            </w:r>
            <w:r w:rsidRPr="008F2447">
              <w:rPr>
                <w:rFonts w:asciiTheme="majorBidi" w:hAnsiTheme="majorBidi" w:cstheme="majorBidi"/>
              </w:rPr>
              <w:t>)</w:t>
            </w:r>
          </w:p>
        </w:tc>
        <w:tc>
          <w:tcPr>
            <w:tcW w:w="2201" w:type="dxa"/>
            <w:tcBorders>
              <w:bottom w:val="single" w:sz="18" w:space="0" w:color="auto"/>
            </w:tcBorders>
            <w:vAlign w:val="center"/>
          </w:tcPr>
          <w:p w14:paraId="67D5ECCC" w14:textId="77777777" w:rsidR="001E0057" w:rsidRPr="007658CC" w:rsidRDefault="001E0057" w:rsidP="003011AA">
            <w:pPr>
              <w:spacing w:line="480" w:lineRule="auto"/>
              <w:jc w:val="center"/>
              <w:rPr>
                <w:rFonts w:asciiTheme="majorBidi" w:hAnsiTheme="majorBidi" w:cstheme="majorBidi"/>
                <w:b/>
                <w:bCs/>
              </w:rPr>
            </w:pPr>
            <w:r w:rsidRPr="008F2447">
              <w:rPr>
                <w:rFonts w:asciiTheme="majorBidi" w:hAnsiTheme="majorBidi" w:cstheme="majorBidi"/>
              </w:rPr>
              <w:t>0.</w:t>
            </w:r>
            <w:r>
              <w:rPr>
                <w:rFonts w:asciiTheme="majorBidi" w:hAnsiTheme="majorBidi" w:cstheme="majorBidi"/>
              </w:rPr>
              <w:t>50 (0.16</w:t>
            </w:r>
            <w:r w:rsidRPr="008F2447">
              <w:rPr>
                <w:rFonts w:asciiTheme="majorBidi" w:hAnsiTheme="majorBidi" w:cstheme="majorBidi"/>
              </w:rPr>
              <w:t>, 1.</w:t>
            </w:r>
            <w:r>
              <w:rPr>
                <w:rFonts w:asciiTheme="majorBidi" w:hAnsiTheme="majorBidi" w:cstheme="majorBidi"/>
              </w:rPr>
              <w:t>51</w:t>
            </w:r>
            <w:r w:rsidRPr="008F2447">
              <w:rPr>
                <w:rFonts w:asciiTheme="majorBidi" w:hAnsiTheme="majorBidi" w:cstheme="majorBidi"/>
              </w:rPr>
              <w:t>)</w:t>
            </w:r>
          </w:p>
        </w:tc>
        <w:tc>
          <w:tcPr>
            <w:tcW w:w="2201" w:type="dxa"/>
            <w:tcBorders>
              <w:bottom w:val="single" w:sz="18" w:space="0" w:color="auto"/>
            </w:tcBorders>
            <w:vAlign w:val="center"/>
          </w:tcPr>
          <w:p w14:paraId="14EA3F67"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0.90</w:t>
            </w:r>
            <w:r w:rsidRPr="00A63C35">
              <w:rPr>
                <w:rFonts w:asciiTheme="majorBidi" w:hAnsiTheme="majorBidi" w:cstheme="majorBidi"/>
              </w:rPr>
              <w:t xml:space="preserve"> (</w:t>
            </w:r>
            <w:r>
              <w:rPr>
                <w:rFonts w:asciiTheme="majorBidi" w:hAnsiTheme="majorBidi" w:cstheme="majorBidi"/>
              </w:rPr>
              <w:t>0.34</w:t>
            </w:r>
            <w:r w:rsidRPr="00A63C35">
              <w:rPr>
                <w:rFonts w:asciiTheme="majorBidi" w:hAnsiTheme="majorBidi" w:cstheme="majorBidi"/>
              </w:rPr>
              <w:t xml:space="preserve">, </w:t>
            </w:r>
            <w:r>
              <w:rPr>
                <w:rFonts w:asciiTheme="majorBidi" w:hAnsiTheme="majorBidi" w:cstheme="majorBidi"/>
              </w:rPr>
              <w:t>2.39</w:t>
            </w:r>
            <w:r w:rsidRPr="00A63C35">
              <w:rPr>
                <w:rFonts w:asciiTheme="majorBidi" w:hAnsiTheme="majorBidi" w:cstheme="majorBidi"/>
              </w:rPr>
              <w:t>)</w:t>
            </w:r>
          </w:p>
        </w:tc>
        <w:tc>
          <w:tcPr>
            <w:tcW w:w="2202" w:type="dxa"/>
            <w:tcBorders>
              <w:bottom w:val="single" w:sz="18" w:space="0" w:color="auto"/>
              <w:right w:val="nil"/>
            </w:tcBorders>
            <w:vAlign w:val="center"/>
          </w:tcPr>
          <w:p w14:paraId="798F1E78"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1.28 (0.44, 3.69)</w:t>
            </w:r>
          </w:p>
        </w:tc>
      </w:tr>
      <w:tr w:rsidR="001E0057" w:rsidRPr="008F2447" w14:paraId="441EC353" w14:textId="77777777" w:rsidTr="003011AA">
        <w:trPr>
          <w:jc w:val="center"/>
        </w:trPr>
        <w:tc>
          <w:tcPr>
            <w:tcW w:w="13208" w:type="dxa"/>
            <w:gridSpan w:val="6"/>
            <w:tcBorders>
              <w:top w:val="single" w:sz="18" w:space="0" w:color="auto"/>
              <w:left w:val="nil"/>
              <w:bottom w:val="single" w:sz="18" w:space="0" w:color="auto"/>
            </w:tcBorders>
            <w:shd w:val="clear" w:color="auto" w:fill="BFBFBF" w:themeFill="background1" w:themeFillShade="BF"/>
            <w:vAlign w:val="center"/>
          </w:tcPr>
          <w:p w14:paraId="078CEAF7" w14:textId="77777777" w:rsidR="001E0057" w:rsidRPr="008F2447" w:rsidRDefault="001E0057" w:rsidP="003011AA">
            <w:pPr>
              <w:spacing w:line="480" w:lineRule="auto"/>
              <w:jc w:val="center"/>
              <w:rPr>
                <w:rFonts w:asciiTheme="majorBidi" w:hAnsiTheme="majorBidi" w:cstheme="majorBidi"/>
                <w:i/>
              </w:rPr>
            </w:pPr>
            <w:r>
              <w:rPr>
                <w:rFonts w:asciiTheme="majorBidi" w:hAnsiTheme="majorBidi" w:cstheme="majorBidi"/>
                <w:b/>
                <w:bCs/>
                <w:i/>
              </w:rPr>
              <w:t>Females</w:t>
            </w:r>
          </w:p>
        </w:tc>
      </w:tr>
      <w:tr w:rsidR="001E0057" w:rsidRPr="008F2447" w14:paraId="06ED7782" w14:textId="77777777" w:rsidTr="003011AA">
        <w:trPr>
          <w:jc w:val="center"/>
        </w:trPr>
        <w:tc>
          <w:tcPr>
            <w:tcW w:w="2201" w:type="dxa"/>
            <w:tcBorders>
              <w:left w:val="nil"/>
              <w:bottom w:val="single" w:sz="18" w:space="0" w:color="auto"/>
            </w:tcBorders>
            <w:shd w:val="clear" w:color="auto" w:fill="BFBFBF" w:themeFill="background1" w:themeFillShade="BF"/>
            <w:vAlign w:val="center"/>
          </w:tcPr>
          <w:p w14:paraId="6B381D75" w14:textId="77777777" w:rsidR="001E0057" w:rsidRPr="008F2447" w:rsidRDefault="001E0057" w:rsidP="003011AA">
            <w:pPr>
              <w:spacing w:line="480" w:lineRule="auto"/>
              <w:jc w:val="center"/>
              <w:rPr>
                <w:rFonts w:asciiTheme="majorBidi" w:hAnsiTheme="majorBidi" w:cstheme="majorBidi"/>
              </w:rPr>
            </w:pPr>
          </w:p>
        </w:tc>
        <w:tc>
          <w:tcPr>
            <w:tcW w:w="2201" w:type="dxa"/>
            <w:tcBorders>
              <w:bottom w:val="single" w:sz="18" w:space="0" w:color="auto"/>
            </w:tcBorders>
            <w:shd w:val="clear" w:color="auto" w:fill="BFBFBF" w:themeFill="background1" w:themeFillShade="BF"/>
            <w:vAlign w:val="center"/>
          </w:tcPr>
          <w:p w14:paraId="62CF0C03" w14:textId="77777777" w:rsidR="001E005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sidRPr="008F2447">
              <w:rPr>
                <w:rFonts w:asciiTheme="majorBidi" w:hAnsiTheme="majorBidi" w:cstheme="majorBidi"/>
                <w:lang w:val="it-IT"/>
              </w:rPr>
              <w:t xml:space="preserve">, non-obese </w:t>
            </w:r>
          </w:p>
          <w:p w14:paraId="3C0CA854" w14:textId="77777777" w:rsidR="001E0057" w:rsidRPr="00A565EC"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w:t>
            </w:r>
            <w:r>
              <w:rPr>
                <w:rFonts w:asciiTheme="majorBidi" w:hAnsiTheme="majorBidi" w:cstheme="majorBidi"/>
                <w:lang w:val="it-IT"/>
              </w:rPr>
              <w:t>124</w:t>
            </w:r>
          </w:p>
        </w:tc>
        <w:tc>
          <w:tcPr>
            <w:tcW w:w="2202" w:type="dxa"/>
            <w:tcBorders>
              <w:bottom w:val="single" w:sz="18" w:space="0" w:color="auto"/>
            </w:tcBorders>
            <w:shd w:val="clear" w:color="auto" w:fill="BFBFBF" w:themeFill="background1" w:themeFillShade="BF"/>
            <w:vAlign w:val="center"/>
          </w:tcPr>
          <w:p w14:paraId="4CA2852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11DB969E"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76</w:t>
            </w:r>
          </w:p>
        </w:tc>
        <w:tc>
          <w:tcPr>
            <w:tcW w:w="2201" w:type="dxa"/>
            <w:tcBorders>
              <w:bottom w:val="single" w:sz="18" w:space="0" w:color="auto"/>
            </w:tcBorders>
            <w:shd w:val="clear" w:color="auto" w:fill="BFBFBF" w:themeFill="background1" w:themeFillShade="BF"/>
            <w:vAlign w:val="center"/>
          </w:tcPr>
          <w:p w14:paraId="302DF6A1"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non-obese </w:t>
            </w:r>
          </w:p>
          <w:p w14:paraId="6E5B400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5</w:t>
            </w:r>
            <w:r w:rsidRPr="008F2447">
              <w:rPr>
                <w:rFonts w:asciiTheme="majorBidi" w:hAnsiTheme="majorBidi" w:cstheme="majorBidi"/>
              </w:rPr>
              <w:t>8</w:t>
            </w:r>
          </w:p>
        </w:tc>
        <w:tc>
          <w:tcPr>
            <w:tcW w:w="2201" w:type="dxa"/>
            <w:tcBorders>
              <w:bottom w:val="single" w:sz="18" w:space="0" w:color="auto"/>
            </w:tcBorders>
            <w:shd w:val="clear" w:color="auto" w:fill="BFBFBF" w:themeFill="background1" w:themeFillShade="BF"/>
            <w:vAlign w:val="center"/>
          </w:tcPr>
          <w:p w14:paraId="3DB50A17"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obese </w:t>
            </w:r>
          </w:p>
          <w:p w14:paraId="6550E666"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24</w:t>
            </w:r>
          </w:p>
        </w:tc>
        <w:tc>
          <w:tcPr>
            <w:tcW w:w="2202" w:type="dxa"/>
            <w:tcBorders>
              <w:bottom w:val="single" w:sz="18" w:space="0" w:color="auto"/>
              <w:right w:val="nil"/>
            </w:tcBorders>
            <w:shd w:val="clear" w:color="auto" w:fill="BFBFBF" w:themeFill="background1" w:themeFillShade="BF"/>
            <w:vAlign w:val="center"/>
          </w:tcPr>
          <w:p w14:paraId="6BA3D34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i/>
              </w:rPr>
              <w:t>SO vs O^</w:t>
            </w:r>
          </w:p>
        </w:tc>
      </w:tr>
      <w:tr w:rsidR="001E0057" w:rsidRPr="008F2447" w14:paraId="2182E1AD" w14:textId="77777777" w:rsidTr="003011AA">
        <w:trPr>
          <w:jc w:val="center"/>
        </w:trPr>
        <w:tc>
          <w:tcPr>
            <w:tcW w:w="2201" w:type="dxa"/>
            <w:tcBorders>
              <w:top w:val="single" w:sz="18" w:space="0" w:color="auto"/>
              <w:left w:val="nil"/>
              <w:bottom w:val="single" w:sz="4" w:space="0" w:color="auto"/>
              <w:right w:val="single" w:sz="4" w:space="0" w:color="auto"/>
            </w:tcBorders>
            <w:vAlign w:val="center"/>
          </w:tcPr>
          <w:p w14:paraId="5F0E5D90"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1</w:t>
            </w:r>
          </w:p>
        </w:tc>
        <w:tc>
          <w:tcPr>
            <w:tcW w:w="2201" w:type="dxa"/>
            <w:tcBorders>
              <w:top w:val="single" w:sz="18" w:space="0" w:color="auto"/>
              <w:left w:val="single" w:sz="4" w:space="0" w:color="auto"/>
              <w:bottom w:val="single" w:sz="4" w:space="0" w:color="auto"/>
              <w:right w:val="single" w:sz="4" w:space="0" w:color="auto"/>
            </w:tcBorders>
            <w:vAlign w:val="center"/>
          </w:tcPr>
          <w:p w14:paraId="4528450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tcBorders>
              <w:top w:val="single" w:sz="18" w:space="0" w:color="auto"/>
              <w:left w:val="single" w:sz="4" w:space="0" w:color="auto"/>
              <w:bottom w:val="single" w:sz="4" w:space="0" w:color="auto"/>
              <w:right w:val="single" w:sz="4" w:space="0" w:color="auto"/>
            </w:tcBorders>
            <w:vAlign w:val="center"/>
          </w:tcPr>
          <w:p w14:paraId="34EC6CEA"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0.48 (0.28, 0.82)</w:t>
            </w:r>
          </w:p>
        </w:tc>
        <w:tc>
          <w:tcPr>
            <w:tcW w:w="2201" w:type="dxa"/>
            <w:tcBorders>
              <w:top w:val="single" w:sz="18" w:space="0" w:color="auto"/>
              <w:left w:val="single" w:sz="4" w:space="0" w:color="auto"/>
              <w:bottom w:val="single" w:sz="4" w:space="0" w:color="auto"/>
              <w:right w:val="single" w:sz="4" w:space="0" w:color="auto"/>
            </w:tcBorders>
            <w:vAlign w:val="center"/>
          </w:tcPr>
          <w:p w14:paraId="6D1B2B4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75</w:t>
            </w:r>
            <w:r w:rsidRPr="008F2447">
              <w:rPr>
                <w:rFonts w:asciiTheme="majorBidi" w:hAnsiTheme="majorBidi" w:cstheme="majorBidi"/>
              </w:rPr>
              <w:t xml:space="preserve"> (0.4</w:t>
            </w:r>
            <w:r>
              <w:rPr>
                <w:rFonts w:asciiTheme="majorBidi" w:hAnsiTheme="majorBidi" w:cstheme="majorBidi"/>
              </w:rPr>
              <w:t>6</w:t>
            </w:r>
            <w:r w:rsidRPr="008F2447">
              <w:rPr>
                <w:rFonts w:asciiTheme="majorBidi" w:hAnsiTheme="majorBidi" w:cstheme="majorBidi"/>
              </w:rPr>
              <w:t>, 1.2</w:t>
            </w:r>
            <w:r>
              <w:rPr>
                <w:rFonts w:asciiTheme="majorBidi" w:hAnsiTheme="majorBidi" w:cstheme="majorBidi"/>
              </w:rPr>
              <w:t>3</w:t>
            </w:r>
            <w:r w:rsidRPr="008F2447">
              <w:rPr>
                <w:rFonts w:asciiTheme="majorBidi" w:hAnsiTheme="majorBidi" w:cstheme="majorBidi"/>
              </w:rPr>
              <w:t>)</w:t>
            </w:r>
          </w:p>
        </w:tc>
        <w:tc>
          <w:tcPr>
            <w:tcW w:w="2201" w:type="dxa"/>
            <w:tcBorders>
              <w:top w:val="single" w:sz="18" w:space="0" w:color="auto"/>
              <w:left w:val="single" w:sz="4" w:space="0" w:color="auto"/>
              <w:bottom w:val="single" w:sz="4" w:space="0" w:color="auto"/>
              <w:right w:val="single" w:sz="4" w:space="0" w:color="auto"/>
            </w:tcBorders>
            <w:vAlign w:val="center"/>
          </w:tcPr>
          <w:p w14:paraId="4657BCE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35</w:t>
            </w:r>
            <w:r w:rsidRPr="008F2447">
              <w:rPr>
                <w:rFonts w:asciiTheme="majorBidi" w:hAnsiTheme="majorBidi" w:cstheme="majorBidi"/>
              </w:rPr>
              <w:t xml:space="preserve"> (</w:t>
            </w:r>
            <w:r>
              <w:rPr>
                <w:rFonts w:asciiTheme="majorBidi" w:hAnsiTheme="majorBidi" w:cstheme="majorBidi"/>
              </w:rPr>
              <w:t>0.77</w:t>
            </w:r>
            <w:r w:rsidRPr="008F2447">
              <w:rPr>
                <w:rFonts w:asciiTheme="majorBidi" w:hAnsiTheme="majorBidi" w:cstheme="majorBidi"/>
              </w:rPr>
              <w:t>, 2.</w:t>
            </w:r>
            <w:r>
              <w:rPr>
                <w:rFonts w:asciiTheme="majorBidi" w:hAnsiTheme="majorBidi" w:cstheme="majorBidi"/>
              </w:rPr>
              <w:t>36</w:t>
            </w:r>
            <w:r w:rsidRPr="008F2447">
              <w:rPr>
                <w:rFonts w:asciiTheme="majorBidi" w:hAnsiTheme="majorBidi" w:cstheme="majorBidi"/>
              </w:rPr>
              <w:t>)</w:t>
            </w:r>
          </w:p>
        </w:tc>
        <w:tc>
          <w:tcPr>
            <w:tcW w:w="2202" w:type="dxa"/>
            <w:tcBorders>
              <w:top w:val="single" w:sz="18" w:space="0" w:color="auto"/>
              <w:left w:val="single" w:sz="4" w:space="0" w:color="auto"/>
              <w:bottom w:val="single" w:sz="4" w:space="0" w:color="auto"/>
              <w:right w:val="nil"/>
            </w:tcBorders>
            <w:vAlign w:val="center"/>
          </w:tcPr>
          <w:p w14:paraId="2EF5A9E1"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2.82 (1.42, 5.60)</w:t>
            </w:r>
          </w:p>
        </w:tc>
      </w:tr>
      <w:tr w:rsidR="001E0057" w:rsidRPr="008F2447" w14:paraId="33B37DDF" w14:textId="77777777" w:rsidTr="003011AA">
        <w:trPr>
          <w:jc w:val="center"/>
        </w:trPr>
        <w:tc>
          <w:tcPr>
            <w:tcW w:w="2201" w:type="dxa"/>
            <w:tcBorders>
              <w:left w:val="nil"/>
              <w:bottom w:val="single" w:sz="4" w:space="0" w:color="auto"/>
              <w:right w:val="single" w:sz="4" w:space="0" w:color="auto"/>
            </w:tcBorders>
            <w:vAlign w:val="center"/>
          </w:tcPr>
          <w:p w14:paraId="35186185"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2</w:t>
            </w:r>
          </w:p>
        </w:tc>
        <w:tc>
          <w:tcPr>
            <w:tcW w:w="2201" w:type="dxa"/>
            <w:tcBorders>
              <w:left w:val="single" w:sz="4" w:space="0" w:color="auto"/>
              <w:bottom w:val="single" w:sz="4" w:space="0" w:color="auto"/>
              <w:right w:val="single" w:sz="4" w:space="0" w:color="auto"/>
            </w:tcBorders>
            <w:vAlign w:val="center"/>
          </w:tcPr>
          <w:p w14:paraId="03620396"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rPr>
              <w:t>REF</w:t>
            </w:r>
          </w:p>
        </w:tc>
        <w:tc>
          <w:tcPr>
            <w:tcW w:w="2202" w:type="dxa"/>
            <w:tcBorders>
              <w:left w:val="single" w:sz="4" w:space="0" w:color="auto"/>
              <w:bottom w:val="single" w:sz="4" w:space="0" w:color="auto"/>
              <w:right w:val="single" w:sz="4" w:space="0" w:color="auto"/>
            </w:tcBorders>
            <w:vAlign w:val="center"/>
          </w:tcPr>
          <w:p w14:paraId="623043EB" w14:textId="77777777" w:rsidR="001E0057" w:rsidRPr="00E66E3E" w:rsidRDefault="001E0057" w:rsidP="003011AA">
            <w:pPr>
              <w:spacing w:line="480" w:lineRule="auto"/>
              <w:jc w:val="center"/>
              <w:rPr>
                <w:rFonts w:asciiTheme="majorBidi" w:hAnsiTheme="majorBidi" w:cstheme="majorBidi"/>
              </w:rPr>
            </w:pPr>
            <w:r w:rsidRPr="00A565EC">
              <w:rPr>
                <w:rFonts w:asciiTheme="majorBidi" w:hAnsiTheme="majorBidi" w:cstheme="majorBidi"/>
              </w:rPr>
              <w:t>0.69 (0.39, 1.23)</w:t>
            </w:r>
          </w:p>
        </w:tc>
        <w:tc>
          <w:tcPr>
            <w:tcW w:w="2201" w:type="dxa"/>
            <w:tcBorders>
              <w:left w:val="single" w:sz="4" w:space="0" w:color="auto"/>
              <w:bottom w:val="single" w:sz="4" w:space="0" w:color="auto"/>
              <w:right w:val="single" w:sz="4" w:space="0" w:color="auto"/>
            </w:tcBorders>
            <w:vAlign w:val="center"/>
          </w:tcPr>
          <w:p w14:paraId="70AA719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74</w:t>
            </w:r>
            <w:r w:rsidRPr="008F2447">
              <w:rPr>
                <w:rFonts w:asciiTheme="majorBidi" w:hAnsiTheme="majorBidi" w:cstheme="majorBidi"/>
              </w:rPr>
              <w:t xml:space="preserve"> (0.4</w:t>
            </w:r>
            <w:r>
              <w:rPr>
                <w:rFonts w:asciiTheme="majorBidi" w:hAnsiTheme="majorBidi" w:cstheme="majorBidi"/>
              </w:rPr>
              <w:t>5</w:t>
            </w:r>
            <w:r w:rsidRPr="008F2447">
              <w:rPr>
                <w:rFonts w:asciiTheme="majorBidi" w:hAnsiTheme="majorBidi" w:cstheme="majorBidi"/>
              </w:rPr>
              <w:t>, 1.2</w:t>
            </w:r>
            <w:r>
              <w:rPr>
                <w:rFonts w:asciiTheme="majorBidi" w:hAnsiTheme="majorBidi" w:cstheme="majorBidi"/>
              </w:rPr>
              <w:t>1</w:t>
            </w:r>
            <w:r w:rsidRPr="008F2447">
              <w:rPr>
                <w:rFonts w:asciiTheme="majorBidi" w:hAnsiTheme="majorBidi" w:cstheme="majorBidi"/>
              </w:rPr>
              <w:t>)</w:t>
            </w:r>
          </w:p>
        </w:tc>
        <w:tc>
          <w:tcPr>
            <w:tcW w:w="2201" w:type="dxa"/>
            <w:tcBorders>
              <w:left w:val="single" w:sz="4" w:space="0" w:color="auto"/>
              <w:bottom w:val="single" w:sz="4" w:space="0" w:color="auto"/>
              <w:right w:val="single" w:sz="4" w:space="0" w:color="auto"/>
            </w:tcBorders>
            <w:vAlign w:val="center"/>
          </w:tcPr>
          <w:p w14:paraId="55D4011F"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1.</w:t>
            </w:r>
            <w:r>
              <w:rPr>
                <w:rFonts w:asciiTheme="majorBidi" w:hAnsiTheme="majorBidi" w:cstheme="majorBidi"/>
              </w:rPr>
              <w:t>34</w:t>
            </w:r>
            <w:r w:rsidRPr="008F2447">
              <w:rPr>
                <w:rFonts w:asciiTheme="majorBidi" w:hAnsiTheme="majorBidi" w:cstheme="majorBidi"/>
              </w:rPr>
              <w:t xml:space="preserve"> (</w:t>
            </w:r>
            <w:r>
              <w:rPr>
                <w:rFonts w:asciiTheme="majorBidi" w:hAnsiTheme="majorBidi" w:cstheme="majorBidi"/>
              </w:rPr>
              <w:t>0.78</w:t>
            </w:r>
            <w:r w:rsidRPr="008F2447">
              <w:rPr>
                <w:rFonts w:asciiTheme="majorBidi" w:hAnsiTheme="majorBidi" w:cstheme="majorBidi"/>
              </w:rPr>
              <w:t>, 2.</w:t>
            </w:r>
            <w:r>
              <w:rPr>
                <w:rFonts w:asciiTheme="majorBidi" w:hAnsiTheme="majorBidi" w:cstheme="majorBidi"/>
              </w:rPr>
              <w:t>33</w:t>
            </w:r>
            <w:r w:rsidRPr="008F2447">
              <w:rPr>
                <w:rFonts w:asciiTheme="majorBidi" w:hAnsiTheme="majorBidi" w:cstheme="majorBidi"/>
              </w:rPr>
              <w:t>)</w:t>
            </w:r>
          </w:p>
        </w:tc>
        <w:tc>
          <w:tcPr>
            <w:tcW w:w="2202" w:type="dxa"/>
            <w:tcBorders>
              <w:left w:val="single" w:sz="4" w:space="0" w:color="auto"/>
              <w:bottom w:val="single" w:sz="4" w:space="0" w:color="auto"/>
              <w:right w:val="nil"/>
            </w:tcBorders>
            <w:vAlign w:val="center"/>
          </w:tcPr>
          <w:p w14:paraId="413BF1AE" w14:textId="77777777" w:rsidR="001E0057" w:rsidRPr="008F2447" w:rsidRDefault="001E0057" w:rsidP="003011AA">
            <w:pPr>
              <w:spacing w:line="480" w:lineRule="auto"/>
              <w:jc w:val="center"/>
              <w:rPr>
                <w:rFonts w:asciiTheme="majorBidi" w:hAnsiTheme="majorBidi" w:cstheme="majorBidi"/>
                <w:i/>
              </w:rPr>
            </w:pPr>
            <w:r>
              <w:rPr>
                <w:rFonts w:asciiTheme="majorBidi" w:hAnsiTheme="majorBidi" w:cstheme="majorBidi"/>
              </w:rPr>
              <w:t>1.93</w:t>
            </w:r>
            <w:r w:rsidRPr="008F2447">
              <w:rPr>
                <w:rFonts w:asciiTheme="majorBidi" w:hAnsiTheme="majorBidi" w:cstheme="majorBidi"/>
              </w:rPr>
              <w:t xml:space="preserve"> (</w:t>
            </w:r>
            <w:r>
              <w:rPr>
                <w:rFonts w:asciiTheme="majorBidi" w:hAnsiTheme="majorBidi" w:cstheme="majorBidi"/>
              </w:rPr>
              <w:t>0</w:t>
            </w:r>
            <w:r w:rsidRPr="008F2447">
              <w:rPr>
                <w:rFonts w:asciiTheme="majorBidi" w:hAnsiTheme="majorBidi" w:cstheme="majorBidi"/>
              </w:rPr>
              <w:t>.9</w:t>
            </w:r>
            <w:r>
              <w:rPr>
                <w:rFonts w:asciiTheme="majorBidi" w:hAnsiTheme="majorBidi" w:cstheme="majorBidi"/>
              </w:rPr>
              <w:t>4</w:t>
            </w:r>
            <w:r w:rsidRPr="008F2447">
              <w:rPr>
                <w:rFonts w:asciiTheme="majorBidi" w:hAnsiTheme="majorBidi" w:cstheme="majorBidi"/>
              </w:rPr>
              <w:t xml:space="preserve">, </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98</w:t>
            </w:r>
            <w:r w:rsidRPr="008F2447">
              <w:rPr>
                <w:rFonts w:asciiTheme="majorBidi" w:hAnsiTheme="majorBidi" w:cstheme="majorBidi"/>
              </w:rPr>
              <w:t>)</w:t>
            </w:r>
          </w:p>
        </w:tc>
      </w:tr>
      <w:tr w:rsidR="001E0057" w:rsidRPr="008F2447" w14:paraId="143111B9" w14:textId="77777777" w:rsidTr="003011AA">
        <w:trPr>
          <w:jc w:val="center"/>
        </w:trPr>
        <w:tc>
          <w:tcPr>
            <w:tcW w:w="2201" w:type="dxa"/>
            <w:tcBorders>
              <w:top w:val="single" w:sz="4" w:space="0" w:color="auto"/>
              <w:left w:val="nil"/>
              <w:bottom w:val="single" w:sz="4" w:space="0" w:color="auto"/>
            </w:tcBorders>
            <w:shd w:val="clear" w:color="auto" w:fill="BFBFBF" w:themeFill="background1" w:themeFillShade="BF"/>
            <w:vAlign w:val="center"/>
          </w:tcPr>
          <w:p w14:paraId="07F0AFCD" w14:textId="77777777" w:rsidR="001E0057" w:rsidRPr="008F2447" w:rsidRDefault="001E0057" w:rsidP="003011AA">
            <w:pPr>
              <w:spacing w:line="480" w:lineRule="auto"/>
              <w:jc w:val="center"/>
              <w:rPr>
                <w:rFonts w:asciiTheme="majorBidi" w:hAnsiTheme="majorBidi" w:cstheme="majorBidi"/>
              </w:rPr>
            </w:pPr>
          </w:p>
        </w:tc>
        <w:tc>
          <w:tcPr>
            <w:tcW w:w="2201" w:type="dxa"/>
            <w:tcBorders>
              <w:top w:val="single" w:sz="4" w:space="0" w:color="auto"/>
              <w:bottom w:val="single" w:sz="4" w:space="0" w:color="auto"/>
            </w:tcBorders>
            <w:shd w:val="clear" w:color="auto" w:fill="BFBFBF" w:themeFill="background1" w:themeFillShade="BF"/>
            <w:vAlign w:val="center"/>
          </w:tcPr>
          <w:p w14:paraId="37951281" w14:textId="77777777" w:rsidR="001E005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dynapenic</w:t>
            </w:r>
            <w:proofErr w:type="spellEnd"/>
            <w:r w:rsidRPr="008F2447">
              <w:rPr>
                <w:rFonts w:asciiTheme="majorBidi" w:hAnsiTheme="majorBidi" w:cstheme="majorBidi"/>
                <w:lang w:val="it-IT"/>
              </w:rPr>
              <w:t xml:space="preserve">, non-obese </w:t>
            </w:r>
          </w:p>
          <w:p w14:paraId="6CF3C031" w14:textId="77777777" w:rsidR="001E0057" w:rsidRPr="00A565EC"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w:t>
            </w:r>
            <w:r>
              <w:rPr>
                <w:rFonts w:asciiTheme="majorBidi" w:hAnsiTheme="majorBidi" w:cstheme="majorBidi"/>
                <w:lang w:val="it-IT"/>
              </w:rPr>
              <w:t>123</w:t>
            </w:r>
          </w:p>
        </w:tc>
        <w:tc>
          <w:tcPr>
            <w:tcW w:w="2202" w:type="dxa"/>
            <w:tcBorders>
              <w:top w:val="single" w:sz="4" w:space="0" w:color="auto"/>
              <w:bottom w:val="single" w:sz="4" w:space="0" w:color="auto"/>
            </w:tcBorders>
            <w:shd w:val="clear" w:color="auto" w:fill="BFBFBF" w:themeFill="background1" w:themeFillShade="BF"/>
            <w:vAlign w:val="center"/>
          </w:tcPr>
          <w:p w14:paraId="5E211621"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365AD36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58</w:t>
            </w:r>
          </w:p>
        </w:tc>
        <w:tc>
          <w:tcPr>
            <w:tcW w:w="2201" w:type="dxa"/>
            <w:tcBorders>
              <w:top w:val="single" w:sz="4" w:space="0" w:color="auto"/>
              <w:bottom w:val="single" w:sz="4" w:space="0" w:color="auto"/>
            </w:tcBorders>
            <w:shd w:val="clear" w:color="auto" w:fill="BFBFBF" w:themeFill="background1" w:themeFillShade="BF"/>
            <w:vAlign w:val="center"/>
          </w:tcPr>
          <w:p w14:paraId="556D8B22" w14:textId="77777777" w:rsidR="001E005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non-obese </w:t>
            </w:r>
          </w:p>
          <w:p w14:paraId="667F7A5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54</w:t>
            </w:r>
          </w:p>
        </w:tc>
        <w:tc>
          <w:tcPr>
            <w:tcW w:w="2201" w:type="dxa"/>
            <w:tcBorders>
              <w:top w:val="single" w:sz="4" w:space="0" w:color="auto"/>
              <w:bottom w:val="single" w:sz="4" w:space="0" w:color="auto"/>
            </w:tcBorders>
            <w:shd w:val="clear" w:color="auto" w:fill="BFBFBF" w:themeFill="background1" w:themeFillShade="BF"/>
            <w:vAlign w:val="center"/>
          </w:tcPr>
          <w:p w14:paraId="4384E6B2"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obese </w:t>
            </w:r>
          </w:p>
          <w:p w14:paraId="5C931002"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38</w:t>
            </w:r>
          </w:p>
        </w:tc>
        <w:tc>
          <w:tcPr>
            <w:tcW w:w="2202" w:type="dxa"/>
            <w:tcBorders>
              <w:top w:val="single" w:sz="4" w:space="0" w:color="auto"/>
              <w:bottom w:val="single" w:sz="4" w:space="0" w:color="auto"/>
              <w:right w:val="nil"/>
            </w:tcBorders>
            <w:shd w:val="clear" w:color="auto" w:fill="BFBFBF" w:themeFill="background1" w:themeFillShade="BF"/>
            <w:vAlign w:val="center"/>
          </w:tcPr>
          <w:p w14:paraId="10D9F24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i/>
              </w:rPr>
              <w:t>DO vs O^</w:t>
            </w:r>
          </w:p>
        </w:tc>
      </w:tr>
      <w:tr w:rsidR="001E0057" w:rsidRPr="008F2447" w14:paraId="49E30324" w14:textId="77777777" w:rsidTr="003011AA">
        <w:trPr>
          <w:jc w:val="center"/>
        </w:trPr>
        <w:tc>
          <w:tcPr>
            <w:tcW w:w="2201" w:type="dxa"/>
            <w:tcBorders>
              <w:left w:val="nil"/>
            </w:tcBorders>
            <w:vAlign w:val="center"/>
          </w:tcPr>
          <w:p w14:paraId="39819DF4"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lastRenderedPageBreak/>
              <w:t>Model 1</w:t>
            </w:r>
          </w:p>
        </w:tc>
        <w:tc>
          <w:tcPr>
            <w:tcW w:w="2201" w:type="dxa"/>
            <w:vAlign w:val="center"/>
          </w:tcPr>
          <w:p w14:paraId="3C9578E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vAlign w:val="center"/>
          </w:tcPr>
          <w:p w14:paraId="4D4AFE0B"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0.53 (0.30, 0.94)</w:t>
            </w:r>
          </w:p>
        </w:tc>
        <w:tc>
          <w:tcPr>
            <w:tcW w:w="2201" w:type="dxa"/>
            <w:vAlign w:val="center"/>
          </w:tcPr>
          <w:p w14:paraId="5100CF9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 xml:space="preserve">65 </w:t>
            </w:r>
            <w:r w:rsidRPr="008F2447">
              <w:rPr>
                <w:rFonts w:asciiTheme="majorBidi" w:hAnsiTheme="majorBidi" w:cstheme="majorBidi"/>
              </w:rPr>
              <w:t>(0.</w:t>
            </w:r>
            <w:r>
              <w:rPr>
                <w:rFonts w:asciiTheme="majorBidi" w:hAnsiTheme="majorBidi" w:cstheme="majorBidi"/>
              </w:rPr>
              <w:t>38</w:t>
            </w:r>
            <w:r w:rsidRPr="008F2447">
              <w:rPr>
                <w:rFonts w:asciiTheme="majorBidi" w:hAnsiTheme="majorBidi" w:cstheme="majorBidi"/>
              </w:rPr>
              <w:t xml:space="preserve">, </w:t>
            </w:r>
            <w:r>
              <w:rPr>
                <w:rFonts w:asciiTheme="majorBidi" w:hAnsiTheme="majorBidi" w:cstheme="majorBidi"/>
              </w:rPr>
              <w:t>1</w:t>
            </w:r>
            <w:r w:rsidRPr="008F2447">
              <w:rPr>
                <w:rFonts w:asciiTheme="majorBidi" w:hAnsiTheme="majorBidi" w:cstheme="majorBidi"/>
              </w:rPr>
              <w:t>.1</w:t>
            </w:r>
            <w:r>
              <w:rPr>
                <w:rFonts w:asciiTheme="majorBidi" w:hAnsiTheme="majorBidi" w:cstheme="majorBidi"/>
              </w:rPr>
              <w:t>0</w:t>
            </w:r>
            <w:r w:rsidRPr="008F2447">
              <w:rPr>
                <w:rFonts w:asciiTheme="majorBidi" w:hAnsiTheme="majorBidi" w:cstheme="majorBidi"/>
              </w:rPr>
              <w:t>)</w:t>
            </w:r>
          </w:p>
        </w:tc>
        <w:tc>
          <w:tcPr>
            <w:tcW w:w="2201" w:type="dxa"/>
            <w:vAlign w:val="center"/>
          </w:tcPr>
          <w:p w14:paraId="2728239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84</w:t>
            </w:r>
            <w:r w:rsidRPr="008F2447">
              <w:rPr>
                <w:rFonts w:asciiTheme="majorBidi" w:hAnsiTheme="majorBidi" w:cstheme="majorBidi"/>
              </w:rPr>
              <w:t xml:space="preserve"> (0.48, 1.25)</w:t>
            </w:r>
          </w:p>
        </w:tc>
        <w:tc>
          <w:tcPr>
            <w:tcW w:w="2202" w:type="dxa"/>
            <w:tcBorders>
              <w:right w:val="nil"/>
            </w:tcBorders>
            <w:vAlign w:val="center"/>
          </w:tcPr>
          <w:p w14:paraId="49EAA5AF"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 xml:space="preserve">1.58 </w:t>
            </w:r>
            <w:r w:rsidRPr="008F2447">
              <w:rPr>
                <w:rFonts w:asciiTheme="majorBidi" w:hAnsiTheme="majorBidi" w:cstheme="majorBidi"/>
              </w:rPr>
              <w:t>(0.</w:t>
            </w:r>
            <w:r>
              <w:rPr>
                <w:rFonts w:asciiTheme="majorBidi" w:hAnsiTheme="majorBidi" w:cstheme="majorBidi"/>
              </w:rPr>
              <w:t>78</w:t>
            </w:r>
            <w:r w:rsidRPr="008F2447">
              <w:rPr>
                <w:rFonts w:asciiTheme="majorBidi" w:hAnsiTheme="majorBidi" w:cstheme="majorBidi"/>
              </w:rPr>
              <w:t xml:space="preserve">, </w:t>
            </w:r>
            <w:r>
              <w:rPr>
                <w:rFonts w:asciiTheme="majorBidi" w:hAnsiTheme="majorBidi" w:cstheme="majorBidi"/>
              </w:rPr>
              <w:t>3</w:t>
            </w:r>
            <w:r w:rsidRPr="008F2447">
              <w:rPr>
                <w:rFonts w:asciiTheme="majorBidi" w:hAnsiTheme="majorBidi" w:cstheme="majorBidi"/>
              </w:rPr>
              <w:t>.</w:t>
            </w:r>
            <w:r>
              <w:rPr>
                <w:rFonts w:asciiTheme="majorBidi" w:hAnsiTheme="majorBidi" w:cstheme="majorBidi"/>
              </w:rPr>
              <w:t>19</w:t>
            </w:r>
            <w:r w:rsidRPr="008F2447">
              <w:rPr>
                <w:rFonts w:asciiTheme="majorBidi" w:hAnsiTheme="majorBidi" w:cstheme="majorBidi"/>
              </w:rPr>
              <w:t>)</w:t>
            </w:r>
          </w:p>
        </w:tc>
      </w:tr>
      <w:tr w:rsidR="001E0057" w:rsidRPr="008F2447" w14:paraId="2E2E149D" w14:textId="77777777" w:rsidTr="003011AA">
        <w:trPr>
          <w:jc w:val="center"/>
        </w:trPr>
        <w:tc>
          <w:tcPr>
            <w:tcW w:w="2201" w:type="dxa"/>
            <w:tcBorders>
              <w:left w:val="nil"/>
            </w:tcBorders>
            <w:vAlign w:val="center"/>
          </w:tcPr>
          <w:p w14:paraId="24FC4A61"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Model 2</w:t>
            </w:r>
          </w:p>
        </w:tc>
        <w:tc>
          <w:tcPr>
            <w:tcW w:w="2201" w:type="dxa"/>
            <w:vAlign w:val="center"/>
          </w:tcPr>
          <w:p w14:paraId="7DBE3DF5"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vAlign w:val="center"/>
          </w:tcPr>
          <w:p w14:paraId="065BCE3A"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80</w:t>
            </w:r>
            <w:r w:rsidRPr="008F2447">
              <w:rPr>
                <w:rFonts w:asciiTheme="majorBidi" w:hAnsiTheme="majorBidi" w:cstheme="majorBidi"/>
              </w:rPr>
              <w:t xml:space="preserve"> (0.</w:t>
            </w:r>
            <w:r>
              <w:rPr>
                <w:rFonts w:asciiTheme="majorBidi" w:hAnsiTheme="majorBidi" w:cstheme="majorBidi"/>
              </w:rPr>
              <w:t>44</w:t>
            </w:r>
            <w:r w:rsidRPr="008F2447">
              <w:rPr>
                <w:rFonts w:asciiTheme="majorBidi" w:hAnsiTheme="majorBidi" w:cstheme="majorBidi"/>
              </w:rPr>
              <w:t>, 1.</w:t>
            </w:r>
            <w:r>
              <w:rPr>
                <w:rFonts w:asciiTheme="majorBidi" w:hAnsiTheme="majorBidi" w:cstheme="majorBidi"/>
              </w:rPr>
              <w:t>44</w:t>
            </w:r>
            <w:r w:rsidRPr="008F2447">
              <w:rPr>
                <w:rFonts w:asciiTheme="majorBidi" w:hAnsiTheme="majorBidi" w:cstheme="majorBidi"/>
              </w:rPr>
              <w:t>)</w:t>
            </w:r>
          </w:p>
        </w:tc>
        <w:tc>
          <w:tcPr>
            <w:tcW w:w="2201" w:type="dxa"/>
            <w:vAlign w:val="center"/>
          </w:tcPr>
          <w:p w14:paraId="0B03420B"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0.</w:t>
            </w:r>
            <w:r>
              <w:rPr>
                <w:rFonts w:asciiTheme="majorBidi" w:hAnsiTheme="majorBidi" w:cstheme="majorBidi"/>
              </w:rPr>
              <w:t>64</w:t>
            </w:r>
            <w:r w:rsidRPr="008F2447">
              <w:rPr>
                <w:rFonts w:asciiTheme="majorBidi" w:hAnsiTheme="majorBidi" w:cstheme="majorBidi"/>
              </w:rPr>
              <w:t xml:space="preserve"> (0.3</w:t>
            </w:r>
            <w:r>
              <w:rPr>
                <w:rFonts w:asciiTheme="majorBidi" w:hAnsiTheme="majorBidi" w:cstheme="majorBidi"/>
              </w:rPr>
              <w:t>8</w:t>
            </w:r>
            <w:r w:rsidRPr="008F2447">
              <w:rPr>
                <w:rFonts w:asciiTheme="majorBidi" w:hAnsiTheme="majorBidi" w:cstheme="majorBidi"/>
              </w:rPr>
              <w:t xml:space="preserve">, </w:t>
            </w: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10</w:t>
            </w:r>
            <w:r w:rsidRPr="008F2447">
              <w:rPr>
                <w:rFonts w:asciiTheme="majorBidi" w:hAnsiTheme="majorBidi" w:cstheme="majorBidi"/>
              </w:rPr>
              <w:t>)</w:t>
            </w:r>
          </w:p>
        </w:tc>
        <w:tc>
          <w:tcPr>
            <w:tcW w:w="2201" w:type="dxa"/>
            <w:vAlign w:val="center"/>
          </w:tcPr>
          <w:p w14:paraId="1709519A"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w:t>
            </w:r>
            <w:r w:rsidRPr="008F2447">
              <w:rPr>
                <w:rFonts w:asciiTheme="majorBidi" w:hAnsiTheme="majorBidi" w:cstheme="majorBidi"/>
              </w:rPr>
              <w:t>.</w:t>
            </w:r>
            <w:r>
              <w:rPr>
                <w:rFonts w:asciiTheme="majorBidi" w:hAnsiTheme="majorBidi" w:cstheme="majorBidi"/>
              </w:rPr>
              <w:t>12</w:t>
            </w:r>
            <w:r w:rsidRPr="008F2447">
              <w:rPr>
                <w:rFonts w:asciiTheme="majorBidi" w:hAnsiTheme="majorBidi" w:cstheme="majorBidi"/>
              </w:rPr>
              <w:t xml:space="preserve"> (0.</w:t>
            </w:r>
            <w:r>
              <w:rPr>
                <w:rFonts w:asciiTheme="majorBidi" w:hAnsiTheme="majorBidi" w:cstheme="majorBidi"/>
              </w:rPr>
              <w:t>63</w:t>
            </w:r>
            <w:r w:rsidRPr="008F2447">
              <w:rPr>
                <w:rFonts w:asciiTheme="majorBidi" w:hAnsiTheme="majorBidi" w:cstheme="majorBidi"/>
              </w:rPr>
              <w:t>, 1.</w:t>
            </w:r>
            <w:r>
              <w:rPr>
                <w:rFonts w:asciiTheme="majorBidi" w:hAnsiTheme="majorBidi" w:cstheme="majorBidi"/>
              </w:rPr>
              <w:t>99</w:t>
            </w:r>
            <w:r w:rsidRPr="008F2447">
              <w:rPr>
                <w:rFonts w:asciiTheme="majorBidi" w:hAnsiTheme="majorBidi" w:cstheme="majorBidi"/>
              </w:rPr>
              <w:t>)</w:t>
            </w:r>
          </w:p>
        </w:tc>
        <w:tc>
          <w:tcPr>
            <w:tcW w:w="2202" w:type="dxa"/>
            <w:tcBorders>
              <w:right w:val="nil"/>
            </w:tcBorders>
            <w:vAlign w:val="center"/>
          </w:tcPr>
          <w:p w14:paraId="5B8C3DDC" w14:textId="77777777" w:rsidR="001E0057" w:rsidRPr="008F2447" w:rsidRDefault="001E0057" w:rsidP="003011AA">
            <w:pPr>
              <w:spacing w:line="480" w:lineRule="auto"/>
              <w:jc w:val="center"/>
              <w:rPr>
                <w:rFonts w:asciiTheme="majorBidi" w:hAnsiTheme="majorBidi" w:cstheme="majorBidi"/>
              </w:rPr>
            </w:pPr>
            <w:r>
              <w:rPr>
                <w:rFonts w:asciiTheme="majorBidi" w:hAnsiTheme="majorBidi" w:cstheme="majorBidi"/>
              </w:rPr>
              <w:t>1.26</w:t>
            </w:r>
            <w:r w:rsidRPr="008F2447">
              <w:rPr>
                <w:rFonts w:asciiTheme="majorBidi" w:hAnsiTheme="majorBidi" w:cstheme="majorBidi"/>
              </w:rPr>
              <w:t xml:space="preserve"> (0.</w:t>
            </w:r>
            <w:r>
              <w:rPr>
                <w:rFonts w:asciiTheme="majorBidi" w:hAnsiTheme="majorBidi" w:cstheme="majorBidi"/>
              </w:rPr>
              <w:t>69</w:t>
            </w:r>
            <w:r w:rsidRPr="008F2447">
              <w:rPr>
                <w:rFonts w:asciiTheme="majorBidi" w:hAnsiTheme="majorBidi" w:cstheme="majorBidi"/>
              </w:rPr>
              <w:t xml:space="preserve">, </w:t>
            </w:r>
            <w:r>
              <w:rPr>
                <w:rFonts w:asciiTheme="majorBidi" w:hAnsiTheme="majorBidi" w:cstheme="majorBidi"/>
              </w:rPr>
              <w:t>2.28</w:t>
            </w:r>
            <w:r w:rsidRPr="008F2447">
              <w:rPr>
                <w:rFonts w:asciiTheme="majorBidi" w:hAnsiTheme="majorBidi" w:cstheme="majorBidi"/>
              </w:rPr>
              <w:t>)</w:t>
            </w:r>
          </w:p>
        </w:tc>
      </w:tr>
      <w:tr w:rsidR="001E0057" w:rsidRPr="008F2447" w14:paraId="6A3F30FD" w14:textId="77777777" w:rsidTr="003011AA">
        <w:trPr>
          <w:jc w:val="center"/>
        </w:trPr>
        <w:tc>
          <w:tcPr>
            <w:tcW w:w="2201" w:type="dxa"/>
            <w:tcBorders>
              <w:left w:val="nil"/>
            </w:tcBorders>
            <w:shd w:val="clear" w:color="auto" w:fill="BFBFBF" w:themeFill="background1" w:themeFillShade="BF"/>
            <w:vAlign w:val="center"/>
          </w:tcPr>
          <w:p w14:paraId="38D98FE5" w14:textId="77777777" w:rsidR="001E0057" w:rsidRDefault="001E0057" w:rsidP="003011AA">
            <w:pPr>
              <w:spacing w:line="480" w:lineRule="auto"/>
              <w:jc w:val="center"/>
              <w:rPr>
                <w:rFonts w:asciiTheme="majorBidi" w:hAnsiTheme="majorBidi" w:cstheme="majorBidi"/>
              </w:rPr>
            </w:pPr>
          </w:p>
        </w:tc>
        <w:tc>
          <w:tcPr>
            <w:tcW w:w="2201" w:type="dxa"/>
            <w:shd w:val="clear" w:color="auto" w:fill="BFBFBF" w:themeFill="background1" w:themeFillShade="BF"/>
            <w:vAlign w:val="center"/>
          </w:tcPr>
          <w:p w14:paraId="0D721B43" w14:textId="77777777" w:rsidR="001E0057" w:rsidRPr="008F2447" w:rsidRDefault="001E0057" w:rsidP="003011AA">
            <w:pPr>
              <w:spacing w:line="480" w:lineRule="auto"/>
              <w:jc w:val="center"/>
              <w:rPr>
                <w:rFonts w:asciiTheme="majorBidi" w:hAnsiTheme="majorBidi" w:cstheme="majorBidi"/>
                <w:lang w:val="it-IT"/>
              </w:rPr>
            </w:pPr>
            <w:r w:rsidRPr="008F2447">
              <w:rPr>
                <w:rFonts w:asciiTheme="majorBidi" w:hAnsiTheme="majorBidi" w:cstheme="majorBidi"/>
                <w:lang w:val="it-IT"/>
              </w:rPr>
              <w:t>Non-</w:t>
            </w:r>
            <w:proofErr w:type="spellStart"/>
            <w:r w:rsidRPr="008F2447">
              <w:rPr>
                <w:rFonts w:asciiTheme="majorBidi" w:hAnsiTheme="majorBidi" w:cstheme="majorBidi"/>
                <w:lang w:val="it-IT"/>
              </w:rPr>
              <w:t>sarcopenic</w:t>
            </w:r>
            <w:proofErr w:type="spellEnd"/>
            <w:r>
              <w:rPr>
                <w:rFonts w:asciiTheme="majorBidi" w:hAnsiTheme="majorBidi" w:cstheme="majorBidi"/>
                <w:lang w:val="it-IT"/>
              </w:rPr>
              <w:t xml:space="preserve"> and non-</w:t>
            </w:r>
            <w:proofErr w:type="spellStart"/>
            <w:r>
              <w:rPr>
                <w:rFonts w:asciiTheme="majorBidi" w:hAnsiTheme="majorBidi" w:cstheme="majorBidi"/>
                <w:lang w:val="it-IT"/>
              </w:rPr>
              <w:t>dynapenic</w:t>
            </w:r>
            <w:proofErr w:type="spellEnd"/>
            <w:r w:rsidRPr="008F2447">
              <w:rPr>
                <w:rFonts w:asciiTheme="majorBidi" w:hAnsiTheme="majorBidi" w:cstheme="majorBidi"/>
                <w:lang w:val="it-IT"/>
              </w:rPr>
              <w:t>, non-obese</w:t>
            </w:r>
          </w:p>
          <w:p w14:paraId="6D8C8F5C"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lang w:val="it-IT"/>
              </w:rPr>
              <w:t>N=</w:t>
            </w:r>
            <w:r>
              <w:rPr>
                <w:rFonts w:asciiTheme="majorBidi" w:hAnsiTheme="majorBidi" w:cstheme="majorBidi"/>
                <w:lang w:val="it-IT"/>
              </w:rPr>
              <w:t>90</w:t>
            </w:r>
          </w:p>
        </w:tc>
        <w:tc>
          <w:tcPr>
            <w:tcW w:w="2202" w:type="dxa"/>
            <w:shd w:val="clear" w:color="auto" w:fill="BFBFBF" w:themeFill="background1" w:themeFillShade="BF"/>
            <w:vAlign w:val="center"/>
          </w:tcPr>
          <w:p w14:paraId="4464BB33"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Non-</w:t>
            </w:r>
            <w:proofErr w:type="spellStart"/>
            <w:r w:rsidRPr="008F2447">
              <w:rPr>
                <w:rFonts w:asciiTheme="majorBidi" w:hAnsiTheme="majorBidi" w:cstheme="majorBidi"/>
              </w:rPr>
              <w:t>sarcopenic</w:t>
            </w:r>
            <w:proofErr w:type="spellEnd"/>
            <w:r>
              <w:rPr>
                <w:rFonts w:asciiTheme="majorBidi" w:hAnsiTheme="majorBidi" w:cstheme="majorBidi"/>
              </w:rPr>
              <w:t xml:space="preserve"> and non-</w:t>
            </w:r>
            <w:proofErr w:type="spellStart"/>
            <w:r>
              <w:rPr>
                <w:rFonts w:asciiTheme="majorBidi" w:hAnsiTheme="majorBidi" w:cstheme="majorBidi"/>
              </w:rPr>
              <w:t>dynapenic</w:t>
            </w:r>
            <w:proofErr w:type="spellEnd"/>
            <w:r w:rsidRPr="008F2447">
              <w:rPr>
                <w:rFonts w:asciiTheme="majorBidi" w:hAnsiTheme="majorBidi" w:cstheme="majorBidi"/>
              </w:rPr>
              <w:t>, obese</w:t>
            </w:r>
          </w:p>
          <w:p w14:paraId="676E7A4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46</w:t>
            </w:r>
          </w:p>
        </w:tc>
        <w:tc>
          <w:tcPr>
            <w:tcW w:w="2201" w:type="dxa"/>
            <w:shd w:val="clear" w:color="auto" w:fill="BFBFBF" w:themeFill="background1" w:themeFillShade="BF"/>
            <w:vAlign w:val="center"/>
          </w:tcPr>
          <w:p w14:paraId="1454EA94" w14:textId="77777777" w:rsidR="001E005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xml:space="preserve">, non-obese </w:t>
            </w:r>
          </w:p>
          <w:p w14:paraId="18B7F6E0"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21</w:t>
            </w:r>
          </w:p>
        </w:tc>
        <w:tc>
          <w:tcPr>
            <w:tcW w:w="2201" w:type="dxa"/>
            <w:shd w:val="clear" w:color="auto" w:fill="BFBFBF" w:themeFill="background1" w:themeFillShade="BF"/>
            <w:vAlign w:val="center"/>
          </w:tcPr>
          <w:p w14:paraId="6486B14F" w14:textId="77777777" w:rsidR="001E0057" w:rsidRPr="008F2447" w:rsidRDefault="001E0057" w:rsidP="003011AA">
            <w:pPr>
              <w:spacing w:line="480" w:lineRule="auto"/>
              <w:jc w:val="center"/>
              <w:rPr>
                <w:rFonts w:asciiTheme="majorBidi" w:hAnsiTheme="majorBidi" w:cstheme="majorBidi"/>
              </w:rPr>
            </w:pPr>
            <w:proofErr w:type="spellStart"/>
            <w:r w:rsidRPr="008F2447">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sidRPr="008F2447">
              <w:rPr>
                <w:rFonts w:asciiTheme="majorBidi" w:hAnsiTheme="majorBidi" w:cstheme="majorBidi"/>
              </w:rPr>
              <w:t xml:space="preserve"> obese</w:t>
            </w:r>
          </w:p>
          <w:p w14:paraId="1E4D1DE9" w14:textId="77777777" w:rsidR="001E0057" w:rsidRDefault="001E0057" w:rsidP="003011AA">
            <w:pPr>
              <w:spacing w:line="480" w:lineRule="auto"/>
              <w:jc w:val="center"/>
              <w:rPr>
                <w:rFonts w:asciiTheme="majorBidi" w:hAnsiTheme="majorBidi" w:cstheme="majorBidi"/>
              </w:rPr>
            </w:pPr>
            <w:r w:rsidRPr="008F2447">
              <w:rPr>
                <w:rFonts w:asciiTheme="majorBidi" w:hAnsiTheme="majorBidi" w:cstheme="majorBidi"/>
              </w:rPr>
              <w:t>N=</w:t>
            </w:r>
            <w:r>
              <w:rPr>
                <w:rFonts w:asciiTheme="majorBidi" w:hAnsiTheme="majorBidi" w:cstheme="majorBidi"/>
              </w:rPr>
              <w:t>10</w:t>
            </w:r>
          </w:p>
        </w:tc>
        <w:tc>
          <w:tcPr>
            <w:tcW w:w="2202" w:type="dxa"/>
            <w:tcBorders>
              <w:right w:val="nil"/>
            </w:tcBorders>
            <w:shd w:val="clear" w:color="auto" w:fill="BFBFBF" w:themeFill="background1" w:themeFillShade="BF"/>
            <w:vAlign w:val="center"/>
          </w:tcPr>
          <w:p w14:paraId="0F8130F0" w14:textId="77777777" w:rsidR="001E0057" w:rsidRPr="008F2447" w:rsidDel="00E66E3E" w:rsidRDefault="001E0057" w:rsidP="003011AA">
            <w:pPr>
              <w:spacing w:line="480" w:lineRule="auto"/>
              <w:jc w:val="center"/>
              <w:rPr>
                <w:rFonts w:asciiTheme="majorBidi" w:hAnsiTheme="majorBidi" w:cstheme="majorBidi"/>
              </w:rPr>
            </w:pPr>
            <w:r w:rsidRPr="008F2447">
              <w:rPr>
                <w:rFonts w:asciiTheme="majorBidi" w:hAnsiTheme="majorBidi" w:cstheme="majorBidi"/>
                <w:i/>
              </w:rPr>
              <w:t>S</w:t>
            </w:r>
            <w:r>
              <w:rPr>
                <w:rFonts w:asciiTheme="majorBidi" w:hAnsiTheme="majorBidi" w:cstheme="majorBidi"/>
                <w:i/>
              </w:rPr>
              <w:t>D</w:t>
            </w:r>
            <w:r w:rsidRPr="008F2447">
              <w:rPr>
                <w:rFonts w:asciiTheme="majorBidi" w:hAnsiTheme="majorBidi" w:cstheme="majorBidi"/>
                <w:i/>
              </w:rPr>
              <w:t>O vs O^</w:t>
            </w:r>
          </w:p>
        </w:tc>
      </w:tr>
      <w:tr w:rsidR="001E0057" w:rsidRPr="008F2447" w14:paraId="6E7628BB" w14:textId="77777777" w:rsidTr="003011AA">
        <w:trPr>
          <w:jc w:val="center"/>
        </w:trPr>
        <w:tc>
          <w:tcPr>
            <w:tcW w:w="2201" w:type="dxa"/>
            <w:tcBorders>
              <w:left w:val="nil"/>
            </w:tcBorders>
            <w:vAlign w:val="center"/>
          </w:tcPr>
          <w:p w14:paraId="154756E5" w14:textId="77777777" w:rsidR="001E0057" w:rsidRDefault="001E0057" w:rsidP="003011AA">
            <w:pPr>
              <w:spacing w:line="480" w:lineRule="auto"/>
              <w:jc w:val="center"/>
              <w:rPr>
                <w:rFonts w:asciiTheme="majorBidi" w:hAnsiTheme="majorBidi" w:cstheme="majorBidi"/>
              </w:rPr>
            </w:pPr>
            <w:r>
              <w:rPr>
                <w:rFonts w:asciiTheme="majorBidi" w:hAnsiTheme="majorBidi" w:cstheme="majorBidi"/>
              </w:rPr>
              <w:t>Model 1</w:t>
            </w:r>
          </w:p>
        </w:tc>
        <w:tc>
          <w:tcPr>
            <w:tcW w:w="2201" w:type="dxa"/>
            <w:vAlign w:val="center"/>
          </w:tcPr>
          <w:p w14:paraId="6CDD41C4"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vAlign w:val="center"/>
          </w:tcPr>
          <w:p w14:paraId="7F30ED57"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0.</w:t>
            </w:r>
            <w:r>
              <w:rPr>
                <w:rFonts w:asciiTheme="majorBidi" w:hAnsiTheme="majorBidi" w:cstheme="majorBidi"/>
                <w:b/>
                <w:bCs/>
              </w:rPr>
              <w:t>39</w:t>
            </w:r>
            <w:r w:rsidRPr="00A565EC">
              <w:rPr>
                <w:rFonts w:asciiTheme="majorBidi" w:hAnsiTheme="majorBidi" w:cstheme="majorBidi"/>
                <w:b/>
                <w:bCs/>
              </w:rPr>
              <w:t xml:space="preserve"> (0.</w:t>
            </w:r>
            <w:r>
              <w:rPr>
                <w:rFonts w:asciiTheme="majorBidi" w:hAnsiTheme="majorBidi" w:cstheme="majorBidi"/>
                <w:b/>
                <w:bCs/>
              </w:rPr>
              <w:t>19</w:t>
            </w:r>
            <w:r w:rsidRPr="00A565EC">
              <w:rPr>
                <w:rFonts w:asciiTheme="majorBidi" w:hAnsiTheme="majorBidi" w:cstheme="majorBidi"/>
                <w:b/>
                <w:bCs/>
              </w:rPr>
              <w:t xml:space="preserve">, </w:t>
            </w:r>
            <w:r>
              <w:rPr>
                <w:rFonts w:asciiTheme="majorBidi" w:hAnsiTheme="majorBidi" w:cstheme="majorBidi"/>
                <w:b/>
                <w:bCs/>
              </w:rPr>
              <w:t>0.79</w:t>
            </w:r>
            <w:r w:rsidRPr="00A565EC">
              <w:rPr>
                <w:rFonts w:asciiTheme="majorBidi" w:hAnsiTheme="majorBidi" w:cstheme="majorBidi"/>
                <w:b/>
                <w:bCs/>
              </w:rPr>
              <w:t>)</w:t>
            </w:r>
          </w:p>
        </w:tc>
        <w:tc>
          <w:tcPr>
            <w:tcW w:w="2201" w:type="dxa"/>
            <w:vAlign w:val="center"/>
          </w:tcPr>
          <w:p w14:paraId="130E2D9A" w14:textId="77777777" w:rsidR="001E0057" w:rsidRPr="00A565EC" w:rsidRDefault="001E0057" w:rsidP="003011AA">
            <w:pPr>
              <w:spacing w:line="480" w:lineRule="auto"/>
              <w:jc w:val="center"/>
              <w:rPr>
                <w:rFonts w:asciiTheme="majorBidi" w:hAnsiTheme="majorBidi" w:cstheme="majorBidi"/>
                <w:b/>
                <w:bCs/>
              </w:rPr>
            </w:pPr>
            <w:r w:rsidRPr="00A565EC">
              <w:rPr>
                <w:rFonts w:asciiTheme="majorBidi" w:hAnsiTheme="majorBidi" w:cstheme="majorBidi"/>
                <w:b/>
                <w:bCs/>
              </w:rPr>
              <w:t>0.39 (0.1</w:t>
            </w:r>
            <w:r>
              <w:rPr>
                <w:rFonts w:asciiTheme="majorBidi" w:hAnsiTheme="majorBidi" w:cstheme="majorBidi"/>
                <w:b/>
                <w:bCs/>
              </w:rPr>
              <w:t>6</w:t>
            </w:r>
            <w:r w:rsidRPr="00A565EC">
              <w:rPr>
                <w:rFonts w:asciiTheme="majorBidi" w:hAnsiTheme="majorBidi" w:cstheme="majorBidi"/>
                <w:b/>
                <w:bCs/>
              </w:rPr>
              <w:t>, 0.</w:t>
            </w:r>
            <w:r>
              <w:rPr>
                <w:rFonts w:asciiTheme="majorBidi" w:hAnsiTheme="majorBidi" w:cstheme="majorBidi"/>
                <w:b/>
                <w:bCs/>
              </w:rPr>
              <w:t>96</w:t>
            </w:r>
            <w:r w:rsidRPr="00A565EC">
              <w:rPr>
                <w:rFonts w:asciiTheme="majorBidi" w:hAnsiTheme="majorBidi" w:cstheme="majorBidi"/>
                <w:b/>
                <w:bCs/>
              </w:rPr>
              <w:t>)</w:t>
            </w:r>
          </w:p>
        </w:tc>
        <w:tc>
          <w:tcPr>
            <w:tcW w:w="2201" w:type="dxa"/>
            <w:vAlign w:val="center"/>
          </w:tcPr>
          <w:p w14:paraId="21F81E53" w14:textId="77777777" w:rsidR="001E0057" w:rsidRDefault="001E0057" w:rsidP="003011AA">
            <w:pPr>
              <w:spacing w:line="480" w:lineRule="auto"/>
              <w:jc w:val="center"/>
              <w:rPr>
                <w:rFonts w:asciiTheme="majorBidi" w:hAnsiTheme="majorBidi" w:cstheme="majorBidi"/>
              </w:rPr>
            </w:pPr>
            <w:r>
              <w:rPr>
                <w:rFonts w:asciiTheme="majorBidi" w:hAnsiTheme="majorBidi" w:cstheme="majorBidi"/>
              </w:rPr>
              <w:t>1.26</w:t>
            </w:r>
            <w:r w:rsidRPr="00A63C35">
              <w:rPr>
                <w:rFonts w:asciiTheme="majorBidi" w:hAnsiTheme="majorBidi" w:cstheme="majorBidi"/>
              </w:rPr>
              <w:t xml:space="preserve"> (</w:t>
            </w:r>
            <w:r>
              <w:rPr>
                <w:rFonts w:asciiTheme="majorBidi" w:hAnsiTheme="majorBidi" w:cstheme="majorBidi"/>
              </w:rPr>
              <w:t>0.58</w:t>
            </w:r>
            <w:r w:rsidRPr="00A63C35">
              <w:rPr>
                <w:rFonts w:asciiTheme="majorBidi" w:hAnsiTheme="majorBidi" w:cstheme="majorBidi"/>
              </w:rPr>
              <w:t xml:space="preserve">, </w:t>
            </w:r>
            <w:r>
              <w:rPr>
                <w:rFonts w:asciiTheme="majorBidi" w:hAnsiTheme="majorBidi" w:cstheme="majorBidi"/>
              </w:rPr>
              <w:t>2.73</w:t>
            </w:r>
            <w:r w:rsidRPr="00A63C35">
              <w:rPr>
                <w:rFonts w:asciiTheme="majorBidi" w:hAnsiTheme="majorBidi" w:cstheme="majorBidi"/>
              </w:rPr>
              <w:t>)</w:t>
            </w:r>
          </w:p>
        </w:tc>
        <w:tc>
          <w:tcPr>
            <w:tcW w:w="2202" w:type="dxa"/>
            <w:tcBorders>
              <w:right w:val="nil"/>
            </w:tcBorders>
            <w:vAlign w:val="center"/>
          </w:tcPr>
          <w:p w14:paraId="46B02487" w14:textId="77777777" w:rsidR="001E0057" w:rsidRPr="00A565EC" w:rsidDel="00E66E3E" w:rsidRDefault="001E0057" w:rsidP="003011AA">
            <w:pPr>
              <w:spacing w:line="480" w:lineRule="auto"/>
              <w:jc w:val="center"/>
              <w:rPr>
                <w:rFonts w:asciiTheme="majorBidi" w:hAnsiTheme="majorBidi" w:cstheme="majorBidi"/>
                <w:b/>
                <w:bCs/>
              </w:rPr>
            </w:pPr>
            <w:r>
              <w:rPr>
                <w:rFonts w:asciiTheme="majorBidi" w:hAnsiTheme="majorBidi" w:cstheme="majorBidi"/>
                <w:b/>
                <w:bCs/>
              </w:rPr>
              <w:t>3.27</w:t>
            </w:r>
            <w:r w:rsidRPr="00A565EC">
              <w:rPr>
                <w:rFonts w:asciiTheme="majorBidi" w:hAnsiTheme="majorBidi" w:cstheme="majorBidi"/>
                <w:b/>
                <w:bCs/>
              </w:rPr>
              <w:t xml:space="preserve"> (1.</w:t>
            </w:r>
            <w:r>
              <w:rPr>
                <w:rFonts w:asciiTheme="majorBidi" w:hAnsiTheme="majorBidi" w:cstheme="majorBidi"/>
                <w:b/>
                <w:bCs/>
              </w:rPr>
              <w:t>25</w:t>
            </w:r>
            <w:r w:rsidRPr="00A565EC">
              <w:rPr>
                <w:rFonts w:asciiTheme="majorBidi" w:hAnsiTheme="majorBidi" w:cstheme="majorBidi"/>
                <w:b/>
                <w:bCs/>
              </w:rPr>
              <w:t xml:space="preserve">, </w:t>
            </w:r>
            <w:r>
              <w:rPr>
                <w:rFonts w:asciiTheme="majorBidi" w:hAnsiTheme="majorBidi" w:cstheme="majorBidi"/>
                <w:b/>
                <w:bCs/>
              </w:rPr>
              <w:t>8</w:t>
            </w:r>
            <w:r w:rsidRPr="00A565EC">
              <w:rPr>
                <w:rFonts w:asciiTheme="majorBidi" w:hAnsiTheme="majorBidi" w:cstheme="majorBidi"/>
                <w:b/>
                <w:bCs/>
              </w:rPr>
              <w:t>.</w:t>
            </w:r>
            <w:r>
              <w:rPr>
                <w:rFonts w:asciiTheme="majorBidi" w:hAnsiTheme="majorBidi" w:cstheme="majorBidi"/>
                <w:b/>
                <w:bCs/>
              </w:rPr>
              <w:t>59</w:t>
            </w:r>
            <w:r w:rsidRPr="00A565EC">
              <w:rPr>
                <w:rFonts w:asciiTheme="majorBidi" w:hAnsiTheme="majorBidi" w:cstheme="majorBidi"/>
                <w:b/>
                <w:bCs/>
              </w:rPr>
              <w:t>)</w:t>
            </w:r>
          </w:p>
        </w:tc>
      </w:tr>
      <w:tr w:rsidR="001E0057" w:rsidRPr="008F2447" w14:paraId="6D1FEC19" w14:textId="77777777" w:rsidTr="003011AA">
        <w:trPr>
          <w:jc w:val="center"/>
        </w:trPr>
        <w:tc>
          <w:tcPr>
            <w:tcW w:w="2201" w:type="dxa"/>
            <w:tcBorders>
              <w:left w:val="nil"/>
              <w:bottom w:val="single" w:sz="18" w:space="0" w:color="auto"/>
            </w:tcBorders>
            <w:vAlign w:val="center"/>
          </w:tcPr>
          <w:p w14:paraId="46057808" w14:textId="77777777" w:rsidR="001E0057" w:rsidRDefault="001E0057" w:rsidP="003011AA">
            <w:pPr>
              <w:spacing w:line="480" w:lineRule="auto"/>
              <w:jc w:val="center"/>
              <w:rPr>
                <w:rFonts w:asciiTheme="majorBidi" w:hAnsiTheme="majorBidi" w:cstheme="majorBidi"/>
              </w:rPr>
            </w:pPr>
            <w:r>
              <w:rPr>
                <w:rFonts w:asciiTheme="majorBidi" w:hAnsiTheme="majorBidi" w:cstheme="majorBidi"/>
              </w:rPr>
              <w:t>Model 2</w:t>
            </w:r>
          </w:p>
        </w:tc>
        <w:tc>
          <w:tcPr>
            <w:tcW w:w="2201" w:type="dxa"/>
            <w:tcBorders>
              <w:bottom w:val="single" w:sz="18" w:space="0" w:color="auto"/>
            </w:tcBorders>
            <w:vAlign w:val="center"/>
          </w:tcPr>
          <w:p w14:paraId="5ADAAC89" w14:textId="77777777" w:rsidR="001E0057" w:rsidRPr="008F2447" w:rsidRDefault="001E0057" w:rsidP="003011AA">
            <w:pPr>
              <w:spacing w:line="480" w:lineRule="auto"/>
              <w:jc w:val="center"/>
              <w:rPr>
                <w:rFonts w:asciiTheme="majorBidi" w:hAnsiTheme="majorBidi" w:cstheme="majorBidi"/>
              </w:rPr>
            </w:pPr>
            <w:r w:rsidRPr="008F2447">
              <w:rPr>
                <w:rFonts w:asciiTheme="majorBidi" w:hAnsiTheme="majorBidi" w:cstheme="majorBidi"/>
              </w:rPr>
              <w:t>REF</w:t>
            </w:r>
          </w:p>
        </w:tc>
        <w:tc>
          <w:tcPr>
            <w:tcW w:w="2202" w:type="dxa"/>
            <w:tcBorders>
              <w:bottom w:val="single" w:sz="18" w:space="0" w:color="auto"/>
            </w:tcBorders>
            <w:vAlign w:val="center"/>
          </w:tcPr>
          <w:p w14:paraId="1219F79D" w14:textId="77777777" w:rsidR="001E0057" w:rsidRPr="009E2740" w:rsidRDefault="001E0057" w:rsidP="003011AA">
            <w:pPr>
              <w:spacing w:line="480" w:lineRule="auto"/>
              <w:jc w:val="center"/>
              <w:rPr>
                <w:rFonts w:asciiTheme="majorBidi" w:hAnsiTheme="majorBidi" w:cstheme="majorBidi"/>
              </w:rPr>
            </w:pPr>
            <w:r w:rsidRPr="00A565EC">
              <w:rPr>
                <w:rFonts w:asciiTheme="majorBidi" w:hAnsiTheme="majorBidi" w:cstheme="majorBidi"/>
              </w:rPr>
              <w:t>0.55 (0.25, 1.19)</w:t>
            </w:r>
          </w:p>
        </w:tc>
        <w:tc>
          <w:tcPr>
            <w:tcW w:w="2201" w:type="dxa"/>
            <w:tcBorders>
              <w:bottom w:val="single" w:sz="18" w:space="0" w:color="auto"/>
            </w:tcBorders>
            <w:vAlign w:val="center"/>
          </w:tcPr>
          <w:p w14:paraId="093CEE79" w14:textId="77777777" w:rsidR="001E0057" w:rsidRPr="00A565EC" w:rsidRDefault="001E0057" w:rsidP="003011AA">
            <w:pPr>
              <w:spacing w:line="480" w:lineRule="auto"/>
              <w:jc w:val="center"/>
              <w:rPr>
                <w:rFonts w:asciiTheme="majorBidi" w:hAnsiTheme="majorBidi" w:cstheme="majorBidi"/>
                <w:b/>
                <w:bCs/>
              </w:rPr>
            </w:pPr>
            <w:r w:rsidRPr="00A63C35">
              <w:rPr>
                <w:rFonts w:asciiTheme="majorBidi" w:hAnsiTheme="majorBidi" w:cstheme="majorBidi"/>
                <w:b/>
                <w:bCs/>
              </w:rPr>
              <w:t>0.39 (0.1</w:t>
            </w:r>
            <w:r>
              <w:rPr>
                <w:rFonts w:asciiTheme="majorBidi" w:hAnsiTheme="majorBidi" w:cstheme="majorBidi"/>
                <w:b/>
                <w:bCs/>
              </w:rPr>
              <w:t>6</w:t>
            </w:r>
            <w:r w:rsidRPr="00A63C35">
              <w:rPr>
                <w:rFonts w:asciiTheme="majorBidi" w:hAnsiTheme="majorBidi" w:cstheme="majorBidi"/>
                <w:b/>
                <w:bCs/>
              </w:rPr>
              <w:t>, 0.</w:t>
            </w:r>
            <w:r>
              <w:rPr>
                <w:rFonts w:asciiTheme="majorBidi" w:hAnsiTheme="majorBidi" w:cstheme="majorBidi"/>
                <w:b/>
                <w:bCs/>
              </w:rPr>
              <w:t>95</w:t>
            </w:r>
            <w:r w:rsidRPr="00A63C35">
              <w:rPr>
                <w:rFonts w:asciiTheme="majorBidi" w:hAnsiTheme="majorBidi" w:cstheme="majorBidi"/>
                <w:b/>
                <w:bCs/>
              </w:rPr>
              <w:t>)</w:t>
            </w:r>
          </w:p>
        </w:tc>
        <w:tc>
          <w:tcPr>
            <w:tcW w:w="2201" w:type="dxa"/>
            <w:tcBorders>
              <w:bottom w:val="single" w:sz="18" w:space="0" w:color="auto"/>
            </w:tcBorders>
            <w:vAlign w:val="center"/>
          </w:tcPr>
          <w:p w14:paraId="0195406C" w14:textId="77777777" w:rsidR="001E0057" w:rsidRDefault="001E0057" w:rsidP="003011AA">
            <w:pPr>
              <w:spacing w:line="480" w:lineRule="auto"/>
              <w:jc w:val="center"/>
              <w:rPr>
                <w:rFonts w:asciiTheme="majorBidi" w:hAnsiTheme="majorBidi" w:cstheme="majorBidi"/>
              </w:rPr>
            </w:pPr>
            <w:r>
              <w:rPr>
                <w:rFonts w:asciiTheme="majorBidi" w:hAnsiTheme="majorBidi" w:cstheme="majorBidi"/>
              </w:rPr>
              <w:t>1.37</w:t>
            </w:r>
            <w:r w:rsidRPr="00A63C35">
              <w:rPr>
                <w:rFonts w:asciiTheme="majorBidi" w:hAnsiTheme="majorBidi" w:cstheme="majorBidi"/>
              </w:rPr>
              <w:t xml:space="preserve"> (</w:t>
            </w:r>
            <w:r>
              <w:rPr>
                <w:rFonts w:asciiTheme="majorBidi" w:hAnsiTheme="majorBidi" w:cstheme="majorBidi"/>
              </w:rPr>
              <w:t>0.63</w:t>
            </w:r>
            <w:r w:rsidRPr="00A63C35">
              <w:rPr>
                <w:rFonts w:asciiTheme="majorBidi" w:hAnsiTheme="majorBidi" w:cstheme="majorBidi"/>
              </w:rPr>
              <w:t xml:space="preserve">, </w:t>
            </w:r>
            <w:r>
              <w:rPr>
                <w:rFonts w:asciiTheme="majorBidi" w:hAnsiTheme="majorBidi" w:cstheme="majorBidi"/>
              </w:rPr>
              <w:t>3.00</w:t>
            </w:r>
            <w:r w:rsidRPr="00A63C35">
              <w:rPr>
                <w:rFonts w:asciiTheme="majorBidi" w:hAnsiTheme="majorBidi" w:cstheme="majorBidi"/>
              </w:rPr>
              <w:t>)</w:t>
            </w:r>
          </w:p>
        </w:tc>
        <w:tc>
          <w:tcPr>
            <w:tcW w:w="2202" w:type="dxa"/>
            <w:tcBorders>
              <w:bottom w:val="single" w:sz="18" w:space="0" w:color="auto"/>
              <w:right w:val="nil"/>
            </w:tcBorders>
            <w:vAlign w:val="center"/>
          </w:tcPr>
          <w:p w14:paraId="55D52602" w14:textId="77777777" w:rsidR="001E0057" w:rsidRPr="008F2447" w:rsidDel="00E66E3E" w:rsidRDefault="001E0057" w:rsidP="003011AA">
            <w:pPr>
              <w:spacing w:line="480" w:lineRule="auto"/>
              <w:jc w:val="center"/>
              <w:rPr>
                <w:rFonts w:asciiTheme="majorBidi" w:hAnsiTheme="majorBidi" w:cstheme="majorBidi"/>
              </w:rPr>
            </w:pPr>
            <w:r>
              <w:rPr>
                <w:rFonts w:asciiTheme="majorBidi" w:hAnsiTheme="majorBidi" w:cstheme="majorBidi"/>
              </w:rPr>
              <w:t>2.51 (0.93, 6.74)</w:t>
            </w:r>
          </w:p>
        </w:tc>
      </w:tr>
    </w:tbl>
    <w:p w14:paraId="7CB16A6C" w14:textId="77777777" w:rsidR="001E0057" w:rsidRPr="008F2447" w:rsidRDefault="001E0057" w:rsidP="001E0057">
      <w:pPr>
        <w:spacing w:line="480" w:lineRule="auto"/>
        <w:rPr>
          <w:rFonts w:asciiTheme="majorBidi" w:hAnsiTheme="majorBidi" w:cstheme="majorBidi"/>
        </w:rPr>
      </w:pPr>
      <w:r w:rsidRPr="008F2447">
        <w:rPr>
          <w:rFonts w:asciiTheme="majorBidi" w:hAnsiTheme="majorBidi" w:cstheme="majorBidi"/>
        </w:rPr>
        <w:t xml:space="preserve">^Odds/incidence rate ratios for </w:t>
      </w:r>
      <w:proofErr w:type="spellStart"/>
      <w:r w:rsidRPr="008F2447">
        <w:rPr>
          <w:rFonts w:asciiTheme="majorBidi" w:hAnsiTheme="majorBidi" w:cstheme="majorBidi"/>
        </w:rPr>
        <w:t>sarcopenic</w:t>
      </w:r>
      <w:proofErr w:type="spellEnd"/>
      <w:r w:rsidRPr="008F2447">
        <w:rPr>
          <w:rFonts w:asciiTheme="majorBidi" w:hAnsiTheme="majorBidi" w:cstheme="majorBidi"/>
        </w:rPr>
        <w:t xml:space="preserve"> obesity</w:t>
      </w:r>
      <w:r>
        <w:rPr>
          <w:rFonts w:asciiTheme="majorBidi" w:hAnsiTheme="majorBidi" w:cstheme="majorBidi"/>
        </w:rPr>
        <w:t xml:space="preserve"> (SO), </w:t>
      </w:r>
      <w:proofErr w:type="spellStart"/>
      <w:r w:rsidRPr="008F2447">
        <w:rPr>
          <w:rFonts w:asciiTheme="majorBidi" w:hAnsiTheme="majorBidi" w:cstheme="majorBidi"/>
        </w:rPr>
        <w:t>dynapenic</w:t>
      </w:r>
      <w:proofErr w:type="spellEnd"/>
      <w:r w:rsidRPr="008F2447">
        <w:rPr>
          <w:rFonts w:asciiTheme="majorBidi" w:hAnsiTheme="majorBidi" w:cstheme="majorBidi"/>
        </w:rPr>
        <w:t xml:space="preserve"> obesity</w:t>
      </w:r>
      <w:r>
        <w:rPr>
          <w:rFonts w:asciiTheme="majorBidi" w:hAnsiTheme="majorBidi" w:cstheme="majorBidi"/>
        </w:rPr>
        <w:t xml:space="preserve"> (DO) or combined </w:t>
      </w:r>
      <w:proofErr w:type="spellStart"/>
      <w:r>
        <w:rPr>
          <w:rFonts w:asciiTheme="majorBidi" w:hAnsiTheme="majorBidi" w:cstheme="majorBidi"/>
        </w:rPr>
        <w:t>sarcopenic</w:t>
      </w:r>
      <w:proofErr w:type="spellEnd"/>
      <w:r>
        <w:rPr>
          <w:rFonts w:asciiTheme="majorBidi" w:hAnsiTheme="majorBidi" w:cstheme="majorBidi"/>
        </w:rPr>
        <w:t xml:space="preserve"> and </w:t>
      </w:r>
      <w:proofErr w:type="spellStart"/>
      <w:r>
        <w:rPr>
          <w:rFonts w:asciiTheme="majorBidi" w:hAnsiTheme="majorBidi" w:cstheme="majorBidi"/>
        </w:rPr>
        <w:t>dynapenic</w:t>
      </w:r>
      <w:proofErr w:type="spellEnd"/>
      <w:r>
        <w:rPr>
          <w:rFonts w:asciiTheme="majorBidi" w:hAnsiTheme="majorBidi" w:cstheme="majorBidi"/>
        </w:rPr>
        <w:t xml:space="preserve"> obesity (SDO)</w:t>
      </w:r>
      <w:r w:rsidRPr="008F2447">
        <w:rPr>
          <w:rFonts w:asciiTheme="majorBidi" w:hAnsiTheme="majorBidi" w:cstheme="majorBidi"/>
        </w:rPr>
        <w:t xml:space="preserve"> with obes</w:t>
      </w:r>
      <w:r>
        <w:rPr>
          <w:rFonts w:asciiTheme="majorBidi" w:hAnsiTheme="majorBidi" w:cstheme="majorBidi"/>
        </w:rPr>
        <w:t>ity alone</w:t>
      </w:r>
      <w:r w:rsidRPr="008F2447">
        <w:rPr>
          <w:rFonts w:asciiTheme="majorBidi" w:hAnsiTheme="majorBidi" w:cstheme="majorBidi"/>
        </w:rPr>
        <w:t xml:space="preserve"> set as the reference category.</w:t>
      </w:r>
    </w:p>
    <w:p w14:paraId="3D4CAE71" w14:textId="77777777" w:rsidR="001E0057" w:rsidRDefault="001E0057" w:rsidP="001E0057">
      <w:pPr>
        <w:spacing w:line="480" w:lineRule="auto"/>
        <w:rPr>
          <w:rFonts w:asciiTheme="majorBidi" w:hAnsiTheme="majorBidi" w:cstheme="majorBidi"/>
        </w:rPr>
      </w:pPr>
      <w:r w:rsidRPr="00A565EC">
        <w:rPr>
          <w:rFonts w:asciiTheme="majorBidi" w:hAnsiTheme="majorBidi" w:cstheme="majorBidi"/>
        </w:rPr>
        <w:t>Model 1</w:t>
      </w:r>
      <w:r w:rsidRPr="008F2447">
        <w:rPr>
          <w:rFonts w:asciiTheme="majorBidi" w:hAnsiTheme="majorBidi" w:cstheme="majorBidi"/>
        </w:rPr>
        <w:t xml:space="preserve"> </w:t>
      </w:r>
      <w:r>
        <w:rPr>
          <w:rFonts w:asciiTheme="majorBidi" w:hAnsiTheme="majorBidi" w:cstheme="majorBidi"/>
        </w:rPr>
        <w:t xml:space="preserve">adjusted for </w:t>
      </w:r>
      <w:r w:rsidRPr="008F2447">
        <w:rPr>
          <w:rFonts w:asciiTheme="majorBidi" w:hAnsiTheme="majorBidi" w:cstheme="majorBidi"/>
        </w:rPr>
        <w:t>baseline age</w:t>
      </w:r>
      <w:r>
        <w:rPr>
          <w:rFonts w:asciiTheme="majorBidi" w:hAnsiTheme="majorBidi" w:cstheme="majorBidi"/>
        </w:rPr>
        <w:t xml:space="preserve"> and falls risk score.</w:t>
      </w:r>
    </w:p>
    <w:p w14:paraId="41CCEC9C" w14:textId="77777777" w:rsidR="001E0057" w:rsidRPr="002E1DF5" w:rsidRDefault="001E0057" w:rsidP="001E0057">
      <w:pPr>
        <w:spacing w:line="480" w:lineRule="auto"/>
        <w:rPr>
          <w:rFonts w:asciiTheme="majorBidi" w:hAnsiTheme="majorBidi" w:cstheme="majorBidi"/>
        </w:rPr>
      </w:pPr>
      <w:r w:rsidRPr="00A565EC">
        <w:rPr>
          <w:rFonts w:asciiTheme="majorBidi" w:hAnsiTheme="majorBidi" w:cstheme="majorBidi"/>
        </w:rPr>
        <w:t>Model 2 adjusted for Model 1 plus total hip BMD at baseline.</w:t>
      </w:r>
    </w:p>
    <w:p w14:paraId="6D9DE20E" w14:textId="77777777" w:rsidR="001E0057" w:rsidRPr="008F2447" w:rsidRDefault="001E0057" w:rsidP="001E0057">
      <w:pPr>
        <w:spacing w:line="480" w:lineRule="auto"/>
        <w:rPr>
          <w:rFonts w:asciiTheme="majorBidi" w:hAnsiTheme="majorBidi" w:cstheme="majorBidi"/>
        </w:rPr>
      </w:pPr>
    </w:p>
    <w:p w14:paraId="5CF61491" w14:textId="77777777" w:rsidR="001E0057" w:rsidRPr="00883D73" w:rsidRDefault="001E0057" w:rsidP="001E0057">
      <w:r w:rsidRPr="008F2447">
        <w:rPr>
          <w:rFonts w:asciiTheme="majorBidi" w:hAnsiTheme="majorBidi" w:cstheme="majorBidi"/>
        </w:rPr>
        <w:t>OR = odds ratio; CI = confidence interval; IRR = incidence rate ratio</w:t>
      </w:r>
      <w:r>
        <w:rPr>
          <w:rFonts w:asciiTheme="majorBidi" w:hAnsiTheme="majorBidi" w:cstheme="majorBidi"/>
        </w:rPr>
        <w:t>. Bold text indicates significant at P&lt;0.05.</w:t>
      </w:r>
    </w:p>
    <w:p w14:paraId="5AB46BCA" w14:textId="77777777" w:rsidR="001E0057" w:rsidRDefault="001E0057">
      <w:pPr>
        <w:rPr>
          <w:rFonts w:ascii="Times New Roman" w:hAnsi="Times New Roman"/>
          <w:b/>
          <w:bCs/>
        </w:rPr>
        <w:sectPr w:rsidR="001E0057" w:rsidSect="00F4381F">
          <w:pgSz w:w="16838" w:h="11906" w:orient="landscape"/>
          <w:pgMar w:top="1440" w:right="1440" w:bottom="1440" w:left="1440" w:header="708" w:footer="708" w:gutter="0"/>
          <w:cols w:space="708"/>
          <w:docGrid w:linePitch="360"/>
        </w:sectPr>
      </w:pPr>
    </w:p>
    <w:p w14:paraId="206BF25A" w14:textId="0EEE057E" w:rsidR="00575EFD" w:rsidRDefault="001E0057">
      <w:pPr>
        <w:rPr>
          <w:rFonts w:ascii="Times New Roman" w:hAnsi="Times New Roman"/>
          <w:b/>
          <w:bCs/>
        </w:rPr>
      </w:pPr>
      <w:r>
        <w:rPr>
          <w:rFonts w:ascii="Times New Roman" w:hAnsi="Times New Roman"/>
          <w:b/>
          <w:bCs/>
        </w:rPr>
        <w:lastRenderedPageBreak/>
        <w:t>Figure 1 A</w:t>
      </w:r>
    </w:p>
    <w:p w14:paraId="390CD72E" w14:textId="402F00B2" w:rsidR="001E0057" w:rsidRDefault="001E0057">
      <w:pPr>
        <w:rPr>
          <w:rFonts w:ascii="Times New Roman" w:hAnsi="Times New Roman"/>
          <w:b/>
          <w:bCs/>
        </w:rPr>
      </w:pPr>
      <w:r>
        <w:rPr>
          <w:rFonts w:ascii="Times New Roman" w:hAnsi="Times New Roman"/>
          <w:b/>
          <w:bCs/>
          <w:noProof/>
          <w:lang w:val="en-AU" w:eastAsia="zh-CN"/>
        </w:rPr>
        <w:drawing>
          <wp:inline distT="0" distB="0" distL="0" distR="0" wp14:anchorId="2EE9CD58" wp14:editId="2DA5B3F5">
            <wp:extent cx="7496175" cy="504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A_R1.tif"/>
                    <pic:cNvPicPr/>
                  </pic:nvPicPr>
                  <pic:blipFill>
                    <a:blip r:embed="rId8">
                      <a:extLst>
                        <a:ext uri="{28A0092B-C50C-407E-A947-70E740481C1C}">
                          <a14:useLocalDpi xmlns:a14="http://schemas.microsoft.com/office/drawing/2010/main" val="0"/>
                        </a:ext>
                      </a:extLst>
                    </a:blip>
                    <a:stretch>
                      <a:fillRect/>
                    </a:stretch>
                  </pic:blipFill>
                  <pic:spPr>
                    <a:xfrm>
                      <a:off x="0" y="0"/>
                      <a:ext cx="7496175" cy="5048250"/>
                    </a:xfrm>
                    <a:prstGeom prst="rect">
                      <a:avLst/>
                    </a:prstGeom>
                  </pic:spPr>
                </pic:pic>
              </a:graphicData>
            </a:graphic>
          </wp:inline>
        </w:drawing>
      </w:r>
    </w:p>
    <w:p w14:paraId="663A8766" w14:textId="06B74500" w:rsidR="001E0057" w:rsidRDefault="001E0057">
      <w:pPr>
        <w:rPr>
          <w:rFonts w:ascii="Times New Roman" w:hAnsi="Times New Roman"/>
          <w:b/>
          <w:bCs/>
        </w:rPr>
      </w:pPr>
    </w:p>
    <w:p w14:paraId="3FDECB98" w14:textId="42AF612F" w:rsidR="001E0057" w:rsidRDefault="001E0057">
      <w:pPr>
        <w:rPr>
          <w:rFonts w:ascii="Times New Roman" w:hAnsi="Times New Roman"/>
          <w:b/>
          <w:bCs/>
        </w:rPr>
      </w:pPr>
    </w:p>
    <w:p w14:paraId="5D3012DA" w14:textId="14A707EC" w:rsidR="001E0057" w:rsidRDefault="001E0057">
      <w:pPr>
        <w:rPr>
          <w:rFonts w:ascii="Times New Roman" w:hAnsi="Times New Roman"/>
          <w:b/>
          <w:bCs/>
        </w:rPr>
      </w:pPr>
      <w:r>
        <w:rPr>
          <w:rFonts w:ascii="Times New Roman" w:hAnsi="Times New Roman"/>
          <w:b/>
          <w:bCs/>
        </w:rPr>
        <w:lastRenderedPageBreak/>
        <w:t>Figure 1B</w:t>
      </w:r>
    </w:p>
    <w:p w14:paraId="66E7A281" w14:textId="478A9390" w:rsidR="001E0057" w:rsidRDefault="001E0057">
      <w:pPr>
        <w:rPr>
          <w:rFonts w:ascii="Times New Roman" w:hAnsi="Times New Roman"/>
          <w:b/>
          <w:bCs/>
        </w:rPr>
      </w:pPr>
      <w:r>
        <w:rPr>
          <w:rFonts w:ascii="Times New Roman" w:hAnsi="Times New Roman"/>
          <w:b/>
          <w:bCs/>
          <w:noProof/>
          <w:lang w:val="en-AU" w:eastAsia="zh-CN"/>
        </w:rPr>
        <w:drawing>
          <wp:inline distT="0" distB="0" distL="0" distR="0" wp14:anchorId="5CE2E561" wp14:editId="46F6AD4D">
            <wp:extent cx="7458075" cy="510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B_R1.tif"/>
                    <pic:cNvPicPr/>
                  </pic:nvPicPr>
                  <pic:blipFill>
                    <a:blip r:embed="rId9">
                      <a:extLst>
                        <a:ext uri="{28A0092B-C50C-407E-A947-70E740481C1C}">
                          <a14:useLocalDpi xmlns:a14="http://schemas.microsoft.com/office/drawing/2010/main" val="0"/>
                        </a:ext>
                      </a:extLst>
                    </a:blip>
                    <a:stretch>
                      <a:fillRect/>
                    </a:stretch>
                  </pic:blipFill>
                  <pic:spPr>
                    <a:xfrm>
                      <a:off x="0" y="0"/>
                      <a:ext cx="7458075" cy="5105400"/>
                    </a:xfrm>
                    <a:prstGeom prst="rect">
                      <a:avLst/>
                    </a:prstGeom>
                  </pic:spPr>
                </pic:pic>
              </a:graphicData>
            </a:graphic>
          </wp:inline>
        </w:drawing>
      </w:r>
    </w:p>
    <w:p w14:paraId="2A4BE39D" w14:textId="2A385294" w:rsidR="001E0057" w:rsidRDefault="001E0057">
      <w:pPr>
        <w:rPr>
          <w:rFonts w:ascii="Times New Roman" w:hAnsi="Times New Roman"/>
          <w:b/>
          <w:bCs/>
        </w:rPr>
      </w:pPr>
    </w:p>
    <w:p w14:paraId="18E281EE" w14:textId="77777777" w:rsidR="001E0057" w:rsidRDefault="001E0057">
      <w:pPr>
        <w:rPr>
          <w:rFonts w:ascii="Times New Roman" w:hAnsi="Times New Roman"/>
          <w:b/>
          <w:bCs/>
        </w:rPr>
      </w:pPr>
    </w:p>
    <w:p w14:paraId="4DC4C0BF" w14:textId="56D0362A" w:rsidR="001E0057" w:rsidRDefault="001E0057" w:rsidP="001E0057">
      <w:pPr>
        <w:rPr>
          <w:rFonts w:ascii="Times New Roman" w:hAnsi="Times New Roman"/>
          <w:b/>
          <w:bCs/>
        </w:rPr>
      </w:pPr>
      <w:r>
        <w:rPr>
          <w:rFonts w:ascii="Times New Roman" w:hAnsi="Times New Roman"/>
          <w:b/>
          <w:bCs/>
        </w:rPr>
        <w:lastRenderedPageBreak/>
        <w:t>Fi</w:t>
      </w:r>
      <w:bookmarkStart w:id="0" w:name="_GoBack"/>
      <w:bookmarkEnd w:id="0"/>
      <w:r>
        <w:rPr>
          <w:rFonts w:ascii="Times New Roman" w:hAnsi="Times New Roman"/>
          <w:b/>
          <w:bCs/>
        </w:rPr>
        <w:t>gure 1C</w:t>
      </w:r>
    </w:p>
    <w:p w14:paraId="1F693CBF" w14:textId="13DB66F4" w:rsidR="001E0057" w:rsidRDefault="001E0057">
      <w:pPr>
        <w:rPr>
          <w:rFonts w:ascii="Times New Roman" w:hAnsi="Times New Roman"/>
          <w:b/>
          <w:bCs/>
        </w:rPr>
      </w:pPr>
      <w:r>
        <w:rPr>
          <w:rFonts w:ascii="Times New Roman" w:hAnsi="Times New Roman"/>
          <w:b/>
          <w:bCs/>
          <w:noProof/>
          <w:lang w:val="en-AU" w:eastAsia="zh-CN"/>
        </w:rPr>
        <w:drawing>
          <wp:inline distT="0" distB="0" distL="0" distR="0" wp14:anchorId="63095E54" wp14:editId="1D2C0AB3">
            <wp:extent cx="7458075" cy="510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1C_R1.tif"/>
                    <pic:cNvPicPr/>
                  </pic:nvPicPr>
                  <pic:blipFill>
                    <a:blip r:embed="rId10">
                      <a:extLst>
                        <a:ext uri="{28A0092B-C50C-407E-A947-70E740481C1C}">
                          <a14:useLocalDpi xmlns:a14="http://schemas.microsoft.com/office/drawing/2010/main" val="0"/>
                        </a:ext>
                      </a:extLst>
                    </a:blip>
                    <a:stretch>
                      <a:fillRect/>
                    </a:stretch>
                  </pic:blipFill>
                  <pic:spPr>
                    <a:xfrm>
                      <a:off x="0" y="0"/>
                      <a:ext cx="7458075" cy="5105400"/>
                    </a:xfrm>
                    <a:prstGeom prst="rect">
                      <a:avLst/>
                    </a:prstGeom>
                  </pic:spPr>
                </pic:pic>
              </a:graphicData>
            </a:graphic>
          </wp:inline>
        </w:drawing>
      </w:r>
    </w:p>
    <w:sectPr w:rsidR="001E0057" w:rsidSect="00F438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1276" w14:textId="77777777" w:rsidR="00C42761" w:rsidRDefault="00C42761" w:rsidP="00A45227">
      <w:r>
        <w:separator/>
      </w:r>
    </w:p>
  </w:endnote>
  <w:endnote w:type="continuationSeparator" w:id="0">
    <w:p w14:paraId="025B31EB" w14:textId="77777777" w:rsidR="00C42761" w:rsidRDefault="00C42761" w:rsidP="00A45227">
      <w:r>
        <w:continuationSeparator/>
      </w:r>
    </w:p>
  </w:endnote>
  <w:endnote w:type="continuationNotice" w:id="1">
    <w:p w14:paraId="5140923A" w14:textId="77777777" w:rsidR="00C42761" w:rsidRDefault="00C42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901135"/>
      <w:docPartObj>
        <w:docPartGallery w:val="Page Numbers (Bottom of Page)"/>
        <w:docPartUnique/>
      </w:docPartObj>
    </w:sdtPr>
    <w:sdtEndPr>
      <w:rPr>
        <w:noProof/>
      </w:rPr>
    </w:sdtEndPr>
    <w:sdtContent>
      <w:p w14:paraId="5BD58BC2" w14:textId="50399967" w:rsidR="00F51B3A" w:rsidRDefault="00F51B3A">
        <w:pPr>
          <w:pStyle w:val="Footer"/>
          <w:jc w:val="right"/>
        </w:pPr>
        <w:r>
          <w:fldChar w:fldCharType="begin"/>
        </w:r>
        <w:r>
          <w:instrText xml:space="preserve"> PAGE   \* MERGEFORMAT </w:instrText>
        </w:r>
        <w:r>
          <w:fldChar w:fldCharType="separate"/>
        </w:r>
        <w:r w:rsidR="00C767F5">
          <w:rPr>
            <w:noProof/>
          </w:rPr>
          <w:t>21</w:t>
        </w:r>
        <w:r>
          <w:rPr>
            <w:noProof/>
          </w:rPr>
          <w:fldChar w:fldCharType="end"/>
        </w:r>
      </w:p>
    </w:sdtContent>
  </w:sdt>
  <w:p w14:paraId="2A5F6D57" w14:textId="77777777" w:rsidR="00F51B3A" w:rsidRDefault="00F5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4A93" w14:textId="77777777" w:rsidR="00C42761" w:rsidRDefault="00C42761" w:rsidP="00A45227">
      <w:r>
        <w:separator/>
      </w:r>
    </w:p>
  </w:footnote>
  <w:footnote w:type="continuationSeparator" w:id="0">
    <w:p w14:paraId="1E1E147A" w14:textId="77777777" w:rsidR="00C42761" w:rsidRDefault="00C42761" w:rsidP="00A45227">
      <w:r>
        <w:continuationSeparator/>
      </w:r>
    </w:p>
  </w:footnote>
  <w:footnote w:type="continuationNotice" w:id="1">
    <w:p w14:paraId="546C8528" w14:textId="77777777" w:rsidR="00C42761" w:rsidRDefault="00C427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zssftsn5vfs8eepaz5ew9hxvx5dsfds9z5&quot;&gt;PedQuad-Saved-Saved&lt;record-ids&gt;&lt;item&gt;95&lt;/item&gt;&lt;item&gt;211&lt;/item&gt;&lt;item&gt;214&lt;/item&gt;&lt;item&gt;238&lt;/item&gt;&lt;item&gt;269&lt;/item&gt;&lt;item&gt;379&lt;/item&gt;&lt;item&gt;386&lt;/item&gt;&lt;item&gt;619&lt;/item&gt;&lt;item&gt;667&lt;/item&gt;&lt;item&gt;685&lt;/item&gt;&lt;item&gt;689&lt;/item&gt;&lt;item&gt;695&lt;/item&gt;&lt;item&gt;727&lt;/item&gt;&lt;item&gt;833&lt;/item&gt;&lt;item&gt;914&lt;/item&gt;&lt;item&gt;922&lt;/item&gt;&lt;item&gt;1001&lt;/item&gt;&lt;item&gt;1121&lt;/item&gt;&lt;item&gt;1139&lt;/item&gt;&lt;item&gt;1170&lt;/item&gt;&lt;item&gt;1229&lt;/item&gt;&lt;item&gt;1554&lt;/item&gt;&lt;item&gt;1631&lt;/item&gt;&lt;item&gt;1734&lt;/item&gt;&lt;item&gt;1772&lt;/item&gt;&lt;item&gt;1803&lt;/item&gt;&lt;item&gt;1996&lt;/item&gt;&lt;item&gt;2081&lt;/item&gt;&lt;item&gt;2092&lt;/item&gt;&lt;item&gt;2409&lt;/item&gt;&lt;item&gt;2465&lt;/item&gt;&lt;item&gt;2505&lt;/item&gt;&lt;item&gt;2520&lt;/item&gt;&lt;item&gt;2549&lt;/item&gt;&lt;/record-ids&gt;&lt;/item&gt;&lt;/Libraries&gt;"/>
  </w:docVars>
  <w:rsids>
    <w:rsidRoot w:val="00575EFD"/>
    <w:rsid w:val="00024CE5"/>
    <w:rsid w:val="000304CD"/>
    <w:rsid w:val="00057F95"/>
    <w:rsid w:val="00085326"/>
    <w:rsid w:val="00091FD7"/>
    <w:rsid w:val="000D6E99"/>
    <w:rsid w:val="000F43F6"/>
    <w:rsid w:val="00101A5C"/>
    <w:rsid w:val="001311D5"/>
    <w:rsid w:val="00135A5E"/>
    <w:rsid w:val="001641BB"/>
    <w:rsid w:val="00173D1D"/>
    <w:rsid w:val="00177786"/>
    <w:rsid w:val="00181F52"/>
    <w:rsid w:val="001E0057"/>
    <w:rsid w:val="001E40C9"/>
    <w:rsid w:val="001F6320"/>
    <w:rsid w:val="00233848"/>
    <w:rsid w:val="00237A13"/>
    <w:rsid w:val="002755CF"/>
    <w:rsid w:val="00281EDF"/>
    <w:rsid w:val="003267F1"/>
    <w:rsid w:val="00345E19"/>
    <w:rsid w:val="00347658"/>
    <w:rsid w:val="0038265A"/>
    <w:rsid w:val="003A4B62"/>
    <w:rsid w:val="003C5268"/>
    <w:rsid w:val="003E1A8F"/>
    <w:rsid w:val="003E67EC"/>
    <w:rsid w:val="003F66F2"/>
    <w:rsid w:val="004130D6"/>
    <w:rsid w:val="00414E8C"/>
    <w:rsid w:val="00420192"/>
    <w:rsid w:val="00423EF3"/>
    <w:rsid w:val="00427913"/>
    <w:rsid w:val="00444CAD"/>
    <w:rsid w:val="00466089"/>
    <w:rsid w:val="004920C4"/>
    <w:rsid w:val="004B4223"/>
    <w:rsid w:val="004D3D2F"/>
    <w:rsid w:val="00503852"/>
    <w:rsid w:val="00506098"/>
    <w:rsid w:val="00513FB1"/>
    <w:rsid w:val="00530174"/>
    <w:rsid w:val="00530688"/>
    <w:rsid w:val="005369BC"/>
    <w:rsid w:val="005471DF"/>
    <w:rsid w:val="00561060"/>
    <w:rsid w:val="00572DBE"/>
    <w:rsid w:val="00575EFD"/>
    <w:rsid w:val="00577BC8"/>
    <w:rsid w:val="00587760"/>
    <w:rsid w:val="0059052D"/>
    <w:rsid w:val="005957BE"/>
    <w:rsid w:val="005A2C7D"/>
    <w:rsid w:val="005A4313"/>
    <w:rsid w:val="005B7B99"/>
    <w:rsid w:val="005D1EF3"/>
    <w:rsid w:val="005D3EE7"/>
    <w:rsid w:val="00603BBD"/>
    <w:rsid w:val="00604D4D"/>
    <w:rsid w:val="006202EB"/>
    <w:rsid w:val="00640E4A"/>
    <w:rsid w:val="006642D5"/>
    <w:rsid w:val="00667E3B"/>
    <w:rsid w:val="006A0E2F"/>
    <w:rsid w:val="006B12ED"/>
    <w:rsid w:val="006B2598"/>
    <w:rsid w:val="006D3919"/>
    <w:rsid w:val="007067A7"/>
    <w:rsid w:val="00724382"/>
    <w:rsid w:val="007243FC"/>
    <w:rsid w:val="00727469"/>
    <w:rsid w:val="0072789D"/>
    <w:rsid w:val="00782BAB"/>
    <w:rsid w:val="00791E89"/>
    <w:rsid w:val="007974A1"/>
    <w:rsid w:val="007D3900"/>
    <w:rsid w:val="007D662F"/>
    <w:rsid w:val="00833150"/>
    <w:rsid w:val="00852DA8"/>
    <w:rsid w:val="00860D22"/>
    <w:rsid w:val="00877322"/>
    <w:rsid w:val="008945F1"/>
    <w:rsid w:val="008B481D"/>
    <w:rsid w:val="008F2447"/>
    <w:rsid w:val="008F2464"/>
    <w:rsid w:val="008F60BF"/>
    <w:rsid w:val="008F6588"/>
    <w:rsid w:val="00920170"/>
    <w:rsid w:val="0092149C"/>
    <w:rsid w:val="009226A5"/>
    <w:rsid w:val="00927DF2"/>
    <w:rsid w:val="00944A64"/>
    <w:rsid w:val="009702A4"/>
    <w:rsid w:val="009A60ED"/>
    <w:rsid w:val="009B5B7C"/>
    <w:rsid w:val="009D3943"/>
    <w:rsid w:val="009D7B0A"/>
    <w:rsid w:val="009F08F4"/>
    <w:rsid w:val="009F0A92"/>
    <w:rsid w:val="00A0388F"/>
    <w:rsid w:val="00A12E70"/>
    <w:rsid w:val="00A16647"/>
    <w:rsid w:val="00A243B1"/>
    <w:rsid w:val="00A45227"/>
    <w:rsid w:val="00A6061B"/>
    <w:rsid w:val="00A6228F"/>
    <w:rsid w:val="00A67BE2"/>
    <w:rsid w:val="00A96834"/>
    <w:rsid w:val="00AA3845"/>
    <w:rsid w:val="00AB68E5"/>
    <w:rsid w:val="00B15B2B"/>
    <w:rsid w:val="00B30E57"/>
    <w:rsid w:val="00B314E0"/>
    <w:rsid w:val="00B3531C"/>
    <w:rsid w:val="00B4221B"/>
    <w:rsid w:val="00B57F6D"/>
    <w:rsid w:val="00B66789"/>
    <w:rsid w:val="00BB1DB6"/>
    <w:rsid w:val="00BC2050"/>
    <w:rsid w:val="00BD5C93"/>
    <w:rsid w:val="00BE613B"/>
    <w:rsid w:val="00C130CF"/>
    <w:rsid w:val="00C21962"/>
    <w:rsid w:val="00C42761"/>
    <w:rsid w:val="00C45F9B"/>
    <w:rsid w:val="00C767F5"/>
    <w:rsid w:val="00C851F1"/>
    <w:rsid w:val="00C92AA3"/>
    <w:rsid w:val="00CA08A5"/>
    <w:rsid w:val="00CC3B27"/>
    <w:rsid w:val="00CD588C"/>
    <w:rsid w:val="00CE1EE4"/>
    <w:rsid w:val="00CE6212"/>
    <w:rsid w:val="00CF6872"/>
    <w:rsid w:val="00D009EA"/>
    <w:rsid w:val="00D1122E"/>
    <w:rsid w:val="00D14915"/>
    <w:rsid w:val="00D23ADB"/>
    <w:rsid w:val="00D23E1F"/>
    <w:rsid w:val="00D37D6F"/>
    <w:rsid w:val="00D51A8D"/>
    <w:rsid w:val="00D7145E"/>
    <w:rsid w:val="00D80E11"/>
    <w:rsid w:val="00DA601D"/>
    <w:rsid w:val="00DA751C"/>
    <w:rsid w:val="00DC17C8"/>
    <w:rsid w:val="00DE073D"/>
    <w:rsid w:val="00DE2E97"/>
    <w:rsid w:val="00E04B02"/>
    <w:rsid w:val="00E1169D"/>
    <w:rsid w:val="00E1428F"/>
    <w:rsid w:val="00E8032A"/>
    <w:rsid w:val="00E861BC"/>
    <w:rsid w:val="00EA527C"/>
    <w:rsid w:val="00ED4C16"/>
    <w:rsid w:val="00ED62DC"/>
    <w:rsid w:val="00EF4D11"/>
    <w:rsid w:val="00F1207A"/>
    <w:rsid w:val="00F23425"/>
    <w:rsid w:val="00F32EF0"/>
    <w:rsid w:val="00F45BD2"/>
    <w:rsid w:val="00F51B3A"/>
    <w:rsid w:val="00F62082"/>
    <w:rsid w:val="00F635F2"/>
    <w:rsid w:val="00FA091D"/>
    <w:rsid w:val="00FC1A35"/>
    <w:rsid w:val="00FC2372"/>
    <w:rsid w:val="00FF60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B28CF"/>
  <w15:docId w15:val="{632A16C2-326C-4951-BF08-9AE3BC9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1D"/>
    <w:rPr>
      <w:lang w:val="en-GB"/>
    </w:rPr>
  </w:style>
  <w:style w:type="paragraph" w:styleId="Heading1">
    <w:name w:val="heading 1"/>
    <w:basedOn w:val="Normal"/>
    <w:next w:val="Normal"/>
    <w:link w:val="Heading1Char"/>
    <w:uiPriority w:val="9"/>
    <w:qFormat/>
    <w:rsid w:val="008B481D"/>
    <w:pPr>
      <w:keepNext/>
      <w:keepLines/>
      <w:spacing w:before="480"/>
      <w:outlineLvl w:val="0"/>
    </w:pPr>
    <w:rPr>
      <w:rFonts w:asciiTheme="majorHAnsi" w:eastAsiaTheme="majorEastAsia" w:hAnsiTheme="majorHAnsi" w:cstheme="majorBid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81D"/>
    <w:rPr>
      <w:rFonts w:asciiTheme="majorHAnsi" w:eastAsiaTheme="majorEastAsia" w:hAnsiTheme="majorHAnsi" w:cstheme="majorBidi"/>
      <w:b/>
      <w:bCs/>
      <w:color w:val="345A8A"/>
      <w:sz w:val="32"/>
      <w:szCs w:val="32"/>
      <w:lang w:val="en-GB"/>
    </w:rPr>
  </w:style>
  <w:style w:type="table" w:styleId="TableGrid">
    <w:name w:val="Table Grid"/>
    <w:basedOn w:val="TableNormal"/>
    <w:uiPriority w:val="59"/>
    <w:rsid w:val="008B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8B481D"/>
    <w:pPr>
      <w:spacing w:after="200"/>
    </w:pPr>
    <w:rPr>
      <w:b/>
      <w:bCs/>
      <w:color w:val="4F81BD"/>
      <w:sz w:val="18"/>
      <w:szCs w:val="18"/>
    </w:rPr>
  </w:style>
  <w:style w:type="character" w:styleId="CommentReference">
    <w:name w:val="annotation reference"/>
    <w:basedOn w:val="DefaultParagraphFont"/>
    <w:uiPriority w:val="99"/>
    <w:rsid w:val="008B481D"/>
    <w:rPr>
      <w:sz w:val="16"/>
      <w:szCs w:val="16"/>
    </w:rPr>
  </w:style>
  <w:style w:type="paragraph" w:styleId="CommentText">
    <w:name w:val="annotation text"/>
    <w:basedOn w:val="Normal"/>
    <w:link w:val="CommentTextChar"/>
    <w:uiPriority w:val="99"/>
    <w:rsid w:val="008B481D"/>
    <w:rPr>
      <w:sz w:val="20"/>
      <w:szCs w:val="20"/>
    </w:rPr>
  </w:style>
  <w:style w:type="character" w:customStyle="1" w:styleId="CommentTextChar">
    <w:name w:val="Comment Text Char"/>
    <w:basedOn w:val="DefaultParagraphFont"/>
    <w:link w:val="CommentText"/>
    <w:uiPriority w:val="99"/>
    <w:rsid w:val="008B481D"/>
    <w:rPr>
      <w:sz w:val="20"/>
      <w:szCs w:val="20"/>
      <w:lang w:val="en-GB"/>
    </w:rPr>
  </w:style>
  <w:style w:type="paragraph" w:styleId="CommentSubject">
    <w:name w:val="annotation subject"/>
    <w:basedOn w:val="CommentText"/>
    <w:next w:val="CommentText"/>
    <w:link w:val="CommentSubjectChar"/>
    <w:uiPriority w:val="99"/>
    <w:rsid w:val="008B481D"/>
    <w:rPr>
      <w:b/>
      <w:bCs/>
    </w:rPr>
  </w:style>
  <w:style w:type="character" w:customStyle="1" w:styleId="CommentSubjectChar">
    <w:name w:val="Comment Subject Char"/>
    <w:basedOn w:val="CommentTextChar"/>
    <w:link w:val="CommentSubject"/>
    <w:uiPriority w:val="99"/>
    <w:rsid w:val="008B481D"/>
    <w:rPr>
      <w:b/>
      <w:bCs/>
      <w:sz w:val="20"/>
      <w:szCs w:val="20"/>
      <w:lang w:val="en-GB"/>
    </w:rPr>
  </w:style>
  <w:style w:type="paragraph" w:styleId="BalloonText">
    <w:name w:val="Balloon Text"/>
    <w:basedOn w:val="Normal"/>
    <w:link w:val="BalloonTextChar"/>
    <w:uiPriority w:val="99"/>
    <w:rsid w:val="008B481D"/>
    <w:rPr>
      <w:rFonts w:ascii="Segoe UI" w:hAnsi="Segoe UI" w:cs="Segoe UI"/>
      <w:sz w:val="18"/>
      <w:szCs w:val="18"/>
    </w:rPr>
  </w:style>
  <w:style w:type="character" w:customStyle="1" w:styleId="BalloonTextChar">
    <w:name w:val="Balloon Text Char"/>
    <w:basedOn w:val="DefaultParagraphFont"/>
    <w:link w:val="BalloonText"/>
    <w:uiPriority w:val="99"/>
    <w:rsid w:val="008B481D"/>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8B481D"/>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8B481D"/>
    <w:rPr>
      <w:rFonts w:ascii="Cambria" w:hAnsi="Cambria"/>
      <w:noProof/>
    </w:rPr>
  </w:style>
  <w:style w:type="paragraph" w:customStyle="1" w:styleId="EndNoteBibliography">
    <w:name w:val="EndNote Bibliography"/>
    <w:basedOn w:val="Normal"/>
    <w:link w:val="EndNoteBibliographyChar"/>
    <w:rsid w:val="008B481D"/>
    <w:rPr>
      <w:rFonts w:ascii="Cambria" w:hAnsi="Cambria"/>
      <w:noProof/>
      <w:lang w:val="en-US"/>
    </w:rPr>
  </w:style>
  <w:style w:type="character" w:customStyle="1" w:styleId="EndNoteBibliographyChar">
    <w:name w:val="EndNote Bibliography Char"/>
    <w:basedOn w:val="DefaultParagraphFont"/>
    <w:link w:val="EndNoteBibliography"/>
    <w:rsid w:val="008B481D"/>
    <w:rPr>
      <w:rFonts w:ascii="Cambria" w:hAnsi="Cambria"/>
      <w:noProof/>
    </w:rPr>
  </w:style>
  <w:style w:type="paragraph" w:styleId="Revision">
    <w:name w:val="Revision"/>
    <w:uiPriority w:val="99"/>
    <w:rsid w:val="008B481D"/>
    <w:rPr>
      <w:lang w:val="en-GB"/>
    </w:rPr>
  </w:style>
  <w:style w:type="paragraph" w:styleId="Footer">
    <w:name w:val="footer"/>
    <w:basedOn w:val="Normal"/>
    <w:link w:val="FooterChar"/>
    <w:uiPriority w:val="99"/>
    <w:rsid w:val="008B481D"/>
    <w:pPr>
      <w:tabs>
        <w:tab w:val="center" w:pos="4513"/>
        <w:tab w:val="right" w:pos="9026"/>
      </w:tabs>
    </w:pPr>
    <w:rPr>
      <w:rFonts w:ascii="Times New Roman" w:eastAsia="Times New Roman" w:hAnsi="Times New Roman" w:cs="Times New Roman"/>
      <w:lang w:val="en-US" w:bidi="en-US"/>
    </w:rPr>
  </w:style>
  <w:style w:type="character" w:customStyle="1" w:styleId="FooterChar">
    <w:name w:val="Footer Char"/>
    <w:basedOn w:val="DefaultParagraphFont"/>
    <w:link w:val="Footer"/>
    <w:uiPriority w:val="99"/>
    <w:rsid w:val="008B481D"/>
    <w:rPr>
      <w:rFonts w:ascii="Times New Roman" w:eastAsia="Times New Roman" w:hAnsi="Times New Roman" w:cs="Times New Roman"/>
      <w:lang w:bidi="en-US"/>
    </w:rPr>
  </w:style>
  <w:style w:type="character" w:styleId="Hyperlink">
    <w:name w:val="Hyperlink"/>
    <w:basedOn w:val="DefaultParagraphFont"/>
    <w:uiPriority w:val="99"/>
    <w:rsid w:val="008B481D"/>
    <w:rPr>
      <w:color w:val="0000FF"/>
      <w:u w:val="single"/>
    </w:rPr>
  </w:style>
  <w:style w:type="paragraph" w:styleId="BodyText">
    <w:name w:val="Body Text"/>
    <w:basedOn w:val="Normal"/>
    <w:link w:val="BodyTextChar"/>
    <w:uiPriority w:val="99"/>
    <w:rsid w:val="008B481D"/>
    <w:pPr>
      <w:spacing w:after="120" w:line="276" w:lineRule="auto"/>
    </w:pPr>
    <w:rPr>
      <w:rFonts w:ascii="Calibri" w:eastAsia="Calibri" w:hAnsi="Calibri" w:cs="Times New Roman"/>
      <w:sz w:val="22"/>
      <w:szCs w:val="22"/>
      <w:lang w:val="en-AU"/>
    </w:rPr>
  </w:style>
  <w:style w:type="character" w:customStyle="1" w:styleId="BodyTextChar">
    <w:name w:val="Body Text Char"/>
    <w:basedOn w:val="DefaultParagraphFont"/>
    <w:link w:val="BodyText"/>
    <w:uiPriority w:val="99"/>
    <w:rsid w:val="008B481D"/>
    <w:rPr>
      <w:rFonts w:ascii="Calibri" w:eastAsia="Calibri" w:hAnsi="Calibri" w:cs="Times New Roman"/>
      <w:sz w:val="22"/>
      <w:szCs w:val="22"/>
      <w:lang w:val="en-AU"/>
    </w:rPr>
  </w:style>
  <w:style w:type="paragraph" w:styleId="NormalWeb">
    <w:name w:val="Normal (Web)"/>
    <w:basedOn w:val="Normal"/>
    <w:uiPriority w:val="99"/>
    <w:rsid w:val="008B481D"/>
    <w:pPr>
      <w:spacing w:before="100" w:beforeAutospacing="1" w:after="100" w:afterAutospacing="1"/>
    </w:pPr>
    <w:rPr>
      <w:rFonts w:ascii="Times New Roman" w:hAnsi="Times New Roman" w:cs="Times New Roman"/>
      <w:lang w:val="en-AU" w:eastAsia="zh-CN"/>
    </w:rPr>
  </w:style>
  <w:style w:type="paragraph" w:styleId="DocumentMap">
    <w:name w:val="Document Map"/>
    <w:basedOn w:val="Normal"/>
    <w:link w:val="DocumentMapChar"/>
    <w:uiPriority w:val="99"/>
    <w:rsid w:val="008B481D"/>
    <w:rPr>
      <w:rFonts w:ascii="Lucida Grande" w:hAnsi="Lucida Grande" w:cs="Lucida Grande"/>
    </w:rPr>
  </w:style>
  <w:style w:type="character" w:customStyle="1" w:styleId="DocumentMapChar">
    <w:name w:val="Document Map Char"/>
    <w:basedOn w:val="DefaultParagraphFont"/>
    <w:link w:val="DocumentMap"/>
    <w:uiPriority w:val="99"/>
    <w:rsid w:val="008B481D"/>
    <w:rPr>
      <w:rFonts w:ascii="Lucida Grande" w:hAnsi="Lucida Grande" w:cs="Lucida Grande"/>
      <w:lang w:val="en-GB"/>
    </w:rPr>
  </w:style>
  <w:style w:type="paragraph" w:styleId="Header">
    <w:name w:val="header"/>
    <w:basedOn w:val="Normal"/>
    <w:link w:val="HeaderChar"/>
    <w:uiPriority w:val="99"/>
    <w:unhideWhenUsed/>
    <w:rsid w:val="00A45227"/>
    <w:pPr>
      <w:tabs>
        <w:tab w:val="center" w:pos="4513"/>
        <w:tab w:val="right" w:pos="9026"/>
      </w:tabs>
    </w:pPr>
  </w:style>
  <w:style w:type="character" w:customStyle="1" w:styleId="HeaderChar">
    <w:name w:val="Header Char"/>
    <w:basedOn w:val="DefaultParagraphFont"/>
    <w:link w:val="Header"/>
    <w:uiPriority w:val="99"/>
    <w:rsid w:val="00A452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1727">
      <w:bodyDiv w:val="1"/>
      <w:marLeft w:val="0"/>
      <w:marRight w:val="0"/>
      <w:marTop w:val="0"/>
      <w:marBottom w:val="0"/>
      <w:divBdr>
        <w:top w:val="none" w:sz="0" w:space="0" w:color="auto"/>
        <w:left w:val="none" w:sz="0" w:space="0" w:color="auto"/>
        <w:bottom w:val="none" w:sz="0" w:space="0" w:color="auto"/>
        <w:right w:val="none" w:sz="0" w:space="0" w:color="auto"/>
      </w:divBdr>
    </w:div>
    <w:div w:id="375548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BB64-C842-493C-883C-1BEC5BDA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15686</Words>
  <Characters>89414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 Chandrasekara</dc:creator>
  <cp:lastModifiedBy>Laura Laslett</cp:lastModifiedBy>
  <cp:revision>4</cp:revision>
  <cp:lastPrinted>2015-10-11T22:28:00Z</cp:lastPrinted>
  <dcterms:created xsi:type="dcterms:W3CDTF">2018-03-05T23:25:00Z</dcterms:created>
  <dcterms:modified xsi:type="dcterms:W3CDTF">2018-03-05T23:30:00Z</dcterms:modified>
</cp:coreProperties>
</file>