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BB53" w14:textId="1B03822F" w:rsidR="004E3968" w:rsidRPr="0009255C" w:rsidRDefault="007E4AC1" w:rsidP="72A6D696">
      <w:pPr>
        <w:spacing w:line="360" w:lineRule="auto"/>
        <w:jc w:val="center"/>
        <w:rPr>
          <w:rFonts w:ascii="Cambria" w:eastAsiaTheme="majorEastAsia" w:hAnsi="Cambria" w:cstheme="majorBidi"/>
          <w:b/>
          <w:bCs/>
          <w:sz w:val="28"/>
          <w:szCs w:val="28"/>
        </w:rPr>
      </w:pPr>
      <w:bookmarkStart w:id="0" w:name="page1"/>
      <w:bookmarkEnd w:id="0"/>
      <w:r w:rsidRPr="0009255C">
        <w:rPr>
          <w:rFonts w:ascii="Cambria" w:eastAsiaTheme="majorEastAsia" w:hAnsi="Cambria" w:cstheme="majorBidi"/>
          <w:b/>
          <w:bCs/>
          <w:sz w:val="28"/>
          <w:szCs w:val="28"/>
        </w:rPr>
        <w:t xml:space="preserve">UNDERTAKING FORENSIC PROCEDURES WITH, AND </w:t>
      </w:r>
      <w:r w:rsidR="00CA073A" w:rsidRPr="0009255C">
        <w:rPr>
          <w:rFonts w:ascii="Cambria" w:eastAsiaTheme="majorEastAsia" w:hAnsi="Cambria" w:cstheme="majorBidi"/>
          <w:b/>
          <w:bCs/>
          <w:sz w:val="28"/>
          <w:szCs w:val="28"/>
        </w:rPr>
        <w:t xml:space="preserve">DATABASING </w:t>
      </w:r>
      <w:r w:rsidR="00555173" w:rsidRPr="0009255C">
        <w:rPr>
          <w:rFonts w:ascii="Cambria" w:eastAsiaTheme="majorEastAsia" w:hAnsi="Cambria" w:cstheme="majorBidi"/>
          <w:b/>
          <w:bCs/>
          <w:sz w:val="28"/>
          <w:szCs w:val="28"/>
        </w:rPr>
        <w:t>DNA FROM</w:t>
      </w:r>
      <w:r w:rsidRPr="0009255C">
        <w:rPr>
          <w:rFonts w:ascii="Cambria" w:eastAsiaTheme="majorEastAsia" w:hAnsi="Cambria" w:cstheme="majorBidi"/>
          <w:b/>
          <w:bCs/>
          <w:sz w:val="28"/>
          <w:szCs w:val="28"/>
        </w:rPr>
        <w:t>,</w:t>
      </w:r>
      <w:r w:rsidR="00555173" w:rsidRPr="0009255C">
        <w:rPr>
          <w:rFonts w:ascii="Cambria" w:eastAsiaTheme="majorEastAsia" w:hAnsi="Cambria" w:cstheme="majorBidi"/>
          <w:b/>
          <w:bCs/>
          <w:sz w:val="28"/>
          <w:szCs w:val="28"/>
        </w:rPr>
        <w:t xml:space="preserve"> YOUNG OFFENDERS</w:t>
      </w:r>
      <w:bookmarkStart w:id="1" w:name="_GoBack"/>
      <w:bookmarkEnd w:id="1"/>
      <w:r w:rsidR="00555173" w:rsidRPr="0009255C">
        <w:rPr>
          <w:rFonts w:ascii="Cambria" w:eastAsiaTheme="majorEastAsia" w:hAnsi="Cambria" w:cstheme="majorBidi"/>
          <w:b/>
          <w:bCs/>
          <w:sz w:val="28"/>
          <w:szCs w:val="28"/>
        </w:rPr>
        <w:t>: FUTURE DIRECTIONS FOR HUMAN RIGHTS PROTECTIONS</w:t>
      </w:r>
    </w:p>
    <w:p w14:paraId="38BA40B6" w14:textId="77777777" w:rsidR="00671A38" w:rsidRDefault="00671A38" w:rsidP="00671A38">
      <w:pPr>
        <w:spacing w:after="360"/>
        <w:jc w:val="center"/>
        <w:outlineLvl w:val="0"/>
        <w:rPr>
          <w:rFonts w:asciiTheme="majorHAnsi" w:eastAsiaTheme="majorEastAsia" w:hAnsiTheme="majorHAnsi" w:cstheme="majorBidi"/>
          <w:smallCaps/>
          <w:sz w:val="24"/>
          <w:szCs w:val="24"/>
        </w:rPr>
      </w:pPr>
      <w:proofErr w:type="spellStart"/>
      <w:r>
        <w:rPr>
          <w:rFonts w:asciiTheme="majorHAnsi" w:eastAsiaTheme="majorEastAsia" w:hAnsiTheme="majorHAnsi" w:cstheme="majorBidi"/>
          <w:smallCaps/>
          <w:sz w:val="24"/>
          <w:szCs w:val="24"/>
        </w:rPr>
        <w:t>Bethney</w:t>
      </w:r>
      <w:proofErr w:type="spellEnd"/>
      <w:r>
        <w:rPr>
          <w:rFonts w:asciiTheme="majorHAnsi" w:eastAsiaTheme="majorEastAsia" w:hAnsiTheme="majorHAnsi" w:cstheme="majorBidi"/>
          <w:smallCaps/>
          <w:sz w:val="24"/>
          <w:szCs w:val="24"/>
        </w:rPr>
        <w:t xml:space="preserve"> Baker</w:t>
      </w:r>
      <w:r w:rsidRPr="72A6D696">
        <w:rPr>
          <w:rStyle w:val="FootnoteReference"/>
          <w:rFonts w:asciiTheme="majorHAnsi" w:eastAsiaTheme="majorEastAsia" w:hAnsiTheme="majorHAnsi" w:cstheme="majorBidi"/>
          <w:i/>
          <w:iCs/>
          <w:smallCaps/>
          <w:sz w:val="24"/>
          <w:szCs w:val="24"/>
        </w:rPr>
        <w:footnoteReference w:customMarkFollows="1" w:id="1"/>
        <w:sym w:font="Symbol" w:char="F02A"/>
      </w:r>
    </w:p>
    <w:p w14:paraId="2F5C3878" w14:textId="3831113F" w:rsidR="005826F1" w:rsidRPr="00671A38" w:rsidRDefault="006138A7" w:rsidP="00671A38">
      <w:pPr>
        <w:spacing w:after="360"/>
        <w:jc w:val="center"/>
        <w:outlineLvl w:val="0"/>
        <w:rPr>
          <w:rFonts w:asciiTheme="majorHAnsi" w:eastAsiaTheme="majorEastAsia" w:hAnsiTheme="majorHAnsi" w:cstheme="majorBidi"/>
          <w:smallCaps/>
          <w:sz w:val="24"/>
          <w:szCs w:val="24"/>
        </w:rPr>
      </w:pPr>
      <w:r w:rsidRPr="006138A7">
        <w:rPr>
          <w:rFonts w:asciiTheme="majorHAnsi" w:eastAsiaTheme="majorEastAsia" w:hAnsiTheme="majorHAnsi" w:cstheme="majorBidi"/>
          <w:smallCaps/>
          <w:sz w:val="24"/>
          <w:szCs w:val="24"/>
        </w:rPr>
        <w:t>Angela Dwyer</w:t>
      </w:r>
      <w:r w:rsidR="003C78D1" w:rsidRPr="72A6D696">
        <w:rPr>
          <w:rStyle w:val="FootnoteReference"/>
          <w:rFonts w:asciiTheme="majorHAnsi" w:eastAsiaTheme="majorEastAsia" w:hAnsiTheme="majorHAnsi" w:cstheme="majorBidi"/>
          <w:i/>
          <w:iCs/>
          <w:smallCaps/>
          <w:sz w:val="24"/>
          <w:szCs w:val="24"/>
        </w:rPr>
        <w:footnoteReference w:customMarkFollows="1" w:id="2"/>
        <w:sym w:font="Symbol" w:char="F02A"/>
      </w:r>
    </w:p>
    <w:p w14:paraId="7FEF1AD9" w14:textId="6CA6C5C6" w:rsidR="00555173" w:rsidRDefault="00880FD9" w:rsidP="72A6D696">
      <w:pPr>
        <w:spacing w:after="360" w:line="360" w:lineRule="auto"/>
        <w:ind w:left="851" w:right="851"/>
        <w:jc w:val="both"/>
        <w:rPr>
          <w:rFonts w:ascii="Cambria" w:eastAsiaTheme="majorEastAsia" w:hAnsi="Cambria" w:cstheme="majorBidi"/>
          <w:i/>
          <w:iCs/>
          <w:sz w:val="24"/>
          <w:szCs w:val="24"/>
        </w:rPr>
      </w:pPr>
      <w:r w:rsidRPr="00C74A2C">
        <w:rPr>
          <w:rFonts w:ascii="Cambria" w:eastAsiaTheme="majorEastAsia" w:hAnsi="Cambria" w:cstheme="majorBidi"/>
          <w:i/>
          <w:iCs/>
          <w:sz w:val="24"/>
          <w:szCs w:val="24"/>
        </w:rPr>
        <w:t xml:space="preserve">Forensic procedures and </w:t>
      </w:r>
      <w:r w:rsidR="72A6D696" w:rsidRPr="00C74A2C">
        <w:rPr>
          <w:rFonts w:ascii="Cambria" w:eastAsiaTheme="majorEastAsia" w:hAnsi="Cambria" w:cstheme="majorBidi"/>
          <w:i/>
          <w:iCs/>
          <w:sz w:val="24"/>
          <w:szCs w:val="24"/>
        </w:rPr>
        <w:t xml:space="preserve">DNA profiling </w:t>
      </w:r>
      <w:r w:rsidRPr="00C74A2C">
        <w:rPr>
          <w:rFonts w:ascii="Cambria" w:eastAsiaTheme="majorEastAsia" w:hAnsi="Cambria" w:cstheme="majorBidi"/>
          <w:i/>
          <w:iCs/>
          <w:sz w:val="24"/>
          <w:szCs w:val="24"/>
        </w:rPr>
        <w:t>are</w:t>
      </w:r>
      <w:r w:rsidR="72A6D696" w:rsidRPr="00C74A2C">
        <w:rPr>
          <w:rFonts w:ascii="Cambria" w:eastAsiaTheme="majorEastAsia" w:hAnsi="Cambria" w:cstheme="majorBidi"/>
          <w:i/>
          <w:iCs/>
          <w:sz w:val="24"/>
          <w:szCs w:val="24"/>
        </w:rPr>
        <w:t xml:space="preserve"> commonly used policing technique</w:t>
      </w:r>
      <w:r w:rsidRPr="00C74A2C">
        <w:rPr>
          <w:rFonts w:ascii="Cambria" w:eastAsiaTheme="majorEastAsia" w:hAnsi="Cambria" w:cstheme="majorBidi"/>
          <w:i/>
          <w:iCs/>
          <w:sz w:val="24"/>
          <w:szCs w:val="24"/>
        </w:rPr>
        <w:t>s</w:t>
      </w:r>
      <w:r w:rsidR="72A6D696" w:rsidRPr="00C74A2C">
        <w:rPr>
          <w:rFonts w:ascii="Cambria" w:eastAsiaTheme="majorEastAsia" w:hAnsi="Cambria" w:cstheme="majorBidi"/>
          <w:i/>
          <w:iCs/>
          <w:sz w:val="24"/>
          <w:szCs w:val="24"/>
        </w:rPr>
        <w:t xml:space="preserve"> employed to solve crimes and prosecute offenders. In more recent times, there has been a focus on the implications of these processes with alleged young offenders. This paper </w:t>
      </w:r>
      <w:r w:rsidRPr="00C74A2C">
        <w:rPr>
          <w:rFonts w:ascii="Cambria" w:eastAsiaTheme="majorEastAsia" w:hAnsi="Cambria" w:cstheme="majorBidi"/>
          <w:i/>
          <w:iCs/>
          <w:sz w:val="24"/>
          <w:szCs w:val="24"/>
        </w:rPr>
        <w:t>discusses the broader human rights issues for young offenders around these procedures and processes in relation to a specific case study:</w:t>
      </w:r>
      <w:r w:rsidR="72A6D696" w:rsidRPr="00C74A2C">
        <w:rPr>
          <w:rFonts w:ascii="Cambria" w:eastAsiaTheme="majorEastAsia" w:hAnsi="Cambria" w:cstheme="majorBidi"/>
          <w:i/>
          <w:iCs/>
          <w:sz w:val="24"/>
          <w:szCs w:val="24"/>
        </w:rPr>
        <w:t xml:space="preserve"> legislative frameworks in Queensland</w:t>
      </w:r>
      <w:r w:rsidRPr="00C74A2C">
        <w:rPr>
          <w:rFonts w:ascii="Cambria" w:eastAsiaTheme="majorEastAsia" w:hAnsi="Cambria" w:cstheme="majorBidi"/>
          <w:i/>
          <w:iCs/>
          <w:sz w:val="24"/>
          <w:szCs w:val="24"/>
        </w:rPr>
        <w:t>, Australia</w:t>
      </w:r>
      <w:r w:rsidR="72A6D696" w:rsidRPr="00C74A2C">
        <w:rPr>
          <w:rFonts w:ascii="Cambria" w:eastAsiaTheme="majorEastAsia" w:hAnsi="Cambria" w:cstheme="majorBidi"/>
          <w:i/>
          <w:iCs/>
          <w:sz w:val="24"/>
          <w:szCs w:val="24"/>
        </w:rPr>
        <w:t>. First, the paper overviews</w:t>
      </w:r>
      <w:r w:rsidR="000E7947" w:rsidRPr="00C74A2C">
        <w:rPr>
          <w:rFonts w:ascii="Cambria" w:eastAsiaTheme="majorEastAsia" w:hAnsi="Cambria" w:cstheme="majorBidi"/>
          <w:i/>
          <w:iCs/>
          <w:sz w:val="24"/>
          <w:szCs w:val="24"/>
        </w:rPr>
        <w:t xml:space="preserve"> what forensic procedures and</w:t>
      </w:r>
      <w:r w:rsidR="72A6D696" w:rsidRPr="00C74A2C">
        <w:rPr>
          <w:rFonts w:ascii="Cambria" w:eastAsiaTheme="majorEastAsia" w:hAnsi="Cambria" w:cstheme="majorBidi"/>
          <w:i/>
          <w:iCs/>
          <w:sz w:val="24"/>
          <w:szCs w:val="24"/>
        </w:rPr>
        <w:t xml:space="preserve"> DNA databas</w:t>
      </w:r>
      <w:r w:rsidR="000E7947" w:rsidRPr="00C74A2C">
        <w:rPr>
          <w:rFonts w:ascii="Cambria" w:eastAsiaTheme="majorEastAsia" w:hAnsi="Cambria" w:cstheme="majorBidi"/>
          <w:i/>
          <w:iCs/>
          <w:sz w:val="24"/>
          <w:szCs w:val="24"/>
        </w:rPr>
        <w:t>es</w:t>
      </w:r>
      <w:r w:rsidR="72A6D696" w:rsidRPr="00C74A2C">
        <w:rPr>
          <w:rFonts w:ascii="Cambria" w:eastAsiaTheme="majorEastAsia" w:hAnsi="Cambria" w:cstheme="majorBidi"/>
          <w:i/>
          <w:iCs/>
          <w:sz w:val="24"/>
          <w:szCs w:val="24"/>
        </w:rPr>
        <w:t xml:space="preserve"> </w:t>
      </w:r>
      <w:r w:rsidR="000E7947" w:rsidRPr="00C74A2C">
        <w:rPr>
          <w:rFonts w:ascii="Cambria" w:eastAsiaTheme="majorEastAsia" w:hAnsi="Cambria" w:cstheme="majorBidi"/>
          <w:i/>
          <w:iCs/>
          <w:sz w:val="24"/>
          <w:szCs w:val="24"/>
        </w:rPr>
        <w:t>are defined generally</w:t>
      </w:r>
      <w:r w:rsidR="00860235" w:rsidRPr="00C74A2C">
        <w:rPr>
          <w:rFonts w:ascii="Cambria" w:eastAsiaTheme="majorEastAsia" w:hAnsi="Cambria" w:cstheme="majorBidi"/>
          <w:i/>
          <w:iCs/>
          <w:sz w:val="24"/>
          <w:szCs w:val="24"/>
        </w:rPr>
        <w:t xml:space="preserve"> and the types of information that can be gleaned from DNA collected through forensic procedures and subsequently databased</w:t>
      </w:r>
      <w:r w:rsidR="72A6D696" w:rsidRPr="00C74A2C">
        <w:rPr>
          <w:rFonts w:ascii="Cambria" w:eastAsiaTheme="majorEastAsia" w:hAnsi="Cambria" w:cstheme="majorBidi"/>
          <w:i/>
          <w:iCs/>
          <w:sz w:val="24"/>
          <w:szCs w:val="24"/>
        </w:rPr>
        <w:t xml:space="preserve">. Second, the paper analyses Queensland legislative frameworks in terms of human rights </w:t>
      </w:r>
      <w:r w:rsidR="003B242D" w:rsidRPr="00C74A2C">
        <w:rPr>
          <w:rFonts w:ascii="Cambria" w:eastAsiaTheme="majorEastAsia" w:hAnsi="Cambria" w:cstheme="majorBidi"/>
          <w:i/>
          <w:iCs/>
          <w:sz w:val="24"/>
          <w:szCs w:val="24"/>
        </w:rPr>
        <w:t xml:space="preserve">issues raised by conducting forensic procedures and DNA </w:t>
      </w:r>
      <w:proofErr w:type="spellStart"/>
      <w:r w:rsidR="003B242D" w:rsidRPr="00C74A2C">
        <w:rPr>
          <w:rFonts w:ascii="Cambria" w:eastAsiaTheme="majorEastAsia" w:hAnsi="Cambria" w:cstheme="majorBidi"/>
          <w:i/>
          <w:iCs/>
          <w:sz w:val="24"/>
          <w:szCs w:val="24"/>
        </w:rPr>
        <w:t>databasing</w:t>
      </w:r>
      <w:proofErr w:type="spellEnd"/>
      <w:r w:rsidR="003B242D" w:rsidRPr="00C74A2C">
        <w:rPr>
          <w:rFonts w:ascii="Cambria" w:eastAsiaTheme="majorEastAsia" w:hAnsi="Cambria" w:cstheme="majorBidi"/>
          <w:i/>
          <w:iCs/>
          <w:sz w:val="24"/>
          <w:szCs w:val="24"/>
        </w:rPr>
        <w:t xml:space="preserve"> with</w:t>
      </w:r>
      <w:r w:rsidR="72A6D696" w:rsidRPr="00C74A2C">
        <w:rPr>
          <w:rFonts w:ascii="Cambria" w:eastAsiaTheme="majorEastAsia" w:hAnsi="Cambria" w:cstheme="majorBidi"/>
          <w:i/>
          <w:iCs/>
          <w:sz w:val="24"/>
          <w:szCs w:val="24"/>
        </w:rPr>
        <w:t xml:space="preserve"> alleged young offenders. The paper concludes by considering possible future directions </w:t>
      </w:r>
      <w:r w:rsidR="003B242D" w:rsidRPr="00C74A2C">
        <w:rPr>
          <w:rFonts w:ascii="Cambria" w:eastAsiaTheme="majorEastAsia" w:hAnsi="Cambria" w:cstheme="majorBidi"/>
          <w:i/>
          <w:iCs/>
          <w:sz w:val="24"/>
          <w:szCs w:val="24"/>
        </w:rPr>
        <w:t>around forensic procedures and</w:t>
      </w:r>
      <w:r w:rsidR="72A6D696" w:rsidRPr="00C74A2C">
        <w:rPr>
          <w:rFonts w:ascii="Cambria" w:eastAsiaTheme="majorEastAsia" w:hAnsi="Cambria" w:cstheme="majorBidi"/>
          <w:i/>
          <w:iCs/>
          <w:sz w:val="24"/>
          <w:szCs w:val="24"/>
        </w:rPr>
        <w:t xml:space="preserve"> DNA </w:t>
      </w:r>
      <w:proofErr w:type="spellStart"/>
      <w:r w:rsidR="72A6D696" w:rsidRPr="00C74A2C">
        <w:rPr>
          <w:rFonts w:ascii="Cambria" w:eastAsiaTheme="majorEastAsia" w:hAnsi="Cambria" w:cstheme="majorBidi"/>
          <w:i/>
          <w:iCs/>
          <w:sz w:val="24"/>
          <w:szCs w:val="24"/>
        </w:rPr>
        <w:t>databasing</w:t>
      </w:r>
      <w:proofErr w:type="spellEnd"/>
      <w:r w:rsidR="72A6D696" w:rsidRPr="00C74A2C">
        <w:rPr>
          <w:rFonts w:ascii="Cambria" w:eastAsiaTheme="majorEastAsia" w:hAnsi="Cambria" w:cstheme="majorBidi"/>
          <w:i/>
          <w:iCs/>
          <w:sz w:val="24"/>
          <w:szCs w:val="24"/>
        </w:rPr>
        <w:t xml:space="preserve"> with</w:t>
      </w:r>
      <w:r w:rsidR="003B242D" w:rsidRPr="00C74A2C">
        <w:rPr>
          <w:rFonts w:ascii="Cambria" w:eastAsiaTheme="majorEastAsia" w:hAnsi="Cambria" w:cstheme="majorBidi"/>
          <w:i/>
          <w:iCs/>
          <w:sz w:val="24"/>
          <w:szCs w:val="24"/>
        </w:rPr>
        <w:t xml:space="preserve"> alleged young offenders with </w:t>
      </w:r>
      <w:r w:rsidR="72A6D696" w:rsidRPr="00C74A2C">
        <w:rPr>
          <w:rFonts w:ascii="Cambria" w:eastAsiaTheme="majorEastAsia" w:hAnsi="Cambria" w:cstheme="majorBidi"/>
          <w:i/>
          <w:iCs/>
          <w:sz w:val="24"/>
          <w:szCs w:val="24"/>
        </w:rPr>
        <w:t>reference to existing legislative frameworks.</w:t>
      </w:r>
    </w:p>
    <w:p w14:paraId="3D41EC5E" w14:textId="77777777" w:rsidR="00B23570" w:rsidRDefault="00B23570" w:rsidP="72A6D696">
      <w:pPr>
        <w:spacing w:after="360" w:line="360" w:lineRule="auto"/>
        <w:ind w:left="851" w:right="851"/>
        <w:jc w:val="both"/>
        <w:rPr>
          <w:rFonts w:ascii="Cambria" w:eastAsiaTheme="majorEastAsia" w:hAnsi="Cambria" w:cstheme="majorBidi"/>
          <w:i/>
          <w:iCs/>
          <w:sz w:val="24"/>
          <w:szCs w:val="24"/>
        </w:rPr>
      </w:pPr>
    </w:p>
    <w:p w14:paraId="25159C08" w14:textId="77777777" w:rsidR="00B23570" w:rsidRDefault="00B23570" w:rsidP="72A6D696">
      <w:pPr>
        <w:spacing w:after="360" w:line="360" w:lineRule="auto"/>
        <w:ind w:left="851" w:right="851"/>
        <w:jc w:val="both"/>
        <w:rPr>
          <w:rFonts w:ascii="Cambria" w:eastAsiaTheme="majorEastAsia" w:hAnsi="Cambria" w:cstheme="majorBidi"/>
          <w:i/>
          <w:iCs/>
          <w:sz w:val="24"/>
          <w:szCs w:val="24"/>
        </w:rPr>
      </w:pPr>
    </w:p>
    <w:p w14:paraId="490F9621" w14:textId="77777777" w:rsidR="00B23570" w:rsidRDefault="00B23570" w:rsidP="72A6D696">
      <w:pPr>
        <w:spacing w:after="360" w:line="360" w:lineRule="auto"/>
        <w:ind w:left="851" w:right="851"/>
        <w:jc w:val="both"/>
        <w:rPr>
          <w:rFonts w:ascii="Cambria" w:eastAsiaTheme="majorEastAsia" w:hAnsi="Cambria" w:cstheme="majorBidi"/>
          <w:i/>
          <w:iCs/>
          <w:sz w:val="24"/>
          <w:szCs w:val="24"/>
        </w:rPr>
      </w:pPr>
    </w:p>
    <w:p w14:paraId="75FF44CE" w14:textId="77777777" w:rsidR="00B23570" w:rsidRDefault="00B23570" w:rsidP="72A6D696">
      <w:pPr>
        <w:spacing w:after="360" w:line="360" w:lineRule="auto"/>
        <w:ind w:left="851" w:right="851"/>
        <w:jc w:val="both"/>
        <w:rPr>
          <w:rFonts w:ascii="Cambria" w:eastAsiaTheme="majorEastAsia" w:hAnsi="Cambria" w:cstheme="majorBidi"/>
          <w:i/>
          <w:iCs/>
          <w:sz w:val="24"/>
          <w:szCs w:val="24"/>
        </w:rPr>
      </w:pPr>
    </w:p>
    <w:p w14:paraId="5CFF845A" w14:textId="77777777" w:rsidR="00B23570" w:rsidRDefault="00B23570" w:rsidP="72A6D696">
      <w:pPr>
        <w:spacing w:after="360" w:line="360" w:lineRule="auto"/>
        <w:ind w:left="851" w:right="851"/>
        <w:jc w:val="both"/>
        <w:rPr>
          <w:rFonts w:ascii="Cambria" w:eastAsiaTheme="majorEastAsia" w:hAnsi="Cambria" w:cstheme="majorBidi"/>
          <w:i/>
          <w:iCs/>
          <w:sz w:val="24"/>
          <w:szCs w:val="24"/>
        </w:rPr>
      </w:pPr>
    </w:p>
    <w:p w14:paraId="518551BA" w14:textId="77777777" w:rsidR="00B23570" w:rsidRPr="00C74A2C" w:rsidRDefault="00B23570" w:rsidP="72A6D696">
      <w:pPr>
        <w:spacing w:after="360" w:line="360" w:lineRule="auto"/>
        <w:ind w:left="851" w:right="851"/>
        <w:jc w:val="both"/>
        <w:rPr>
          <w:rFonts w:ascii="Cambria" w:eastAsiaTheme="majorEastAsia" w:hAnsi="Cambria" w:cstheme="majorBidi"/>
          <w:i/>
          <w:iCs/>
          <w:sz w:val="24"/>
          <w:szCs w:val="24"/>
        </w:rPr>
      </w:pPr>
    </w:p>
    <w:p w14:paraId="34F0E5B9" w14:textId="77777777" w:rsidR="00980444" w:rsidRPr="005817D2" w:rsidRDefault="00980444" w:rsidP="00671A38">
      <w:pPr>
        <w:spacing w:line="360" w:lineRule="auto"/>
        <w:ind w:left="851" w:right="851"/>
        <w:jc w:val="center"/>
        <w:outlineLvl w:val="0"/>
        <w:rPr>
          <w:rFonts w:ascii="Cambria" w:hAnsi="Cambria"/>
          <w:smallCaps/>
          <w:sz w:val="28"/>
          <w:szCs w:val="24"/>
          <w:lang w:eastAsia="en-AU"/>
        </w:rPr>
      </w:pPr>
      <w:r w:rsidRPr="005817D2">
        <w:rPr>
          <w:rFonts w:ascii="Cambria" w:hAnsi="Cambria"/>
          <w:smallCaps/>
          <w:sz w:val="28"/>
          <w:szCs w:val="24"/>
          <w:lang w:eastAsia="en-AU"/>
        </w:rPr>
        <w:t>Contents</w:t>
      </w: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85"/>
        <w:gridCol w:w="7312"/>
        <w:gridCol w:w="702"/>
      </w:tblGrid>
      <w:tr w:rsidR="00980444" w:rsidRPr="005817D2" w14:paraId="042156B7" w14:textId="77777777" w:rsidTr="0047622D">
        <w:trPr>
          <w:trHeight w:val="253"/>
        </w:trPr>
        <w:tc>
          <w:tcPr>
            <w:tcW w:w="675" w:type="dxa"/>
          </w:tcPr>
          <w:p w14:paraId="18A9C0AD" w14:textId="77777777" w:rsidR="00980444" w:rsidRPr="005817D2" w:rsidRDefault="00980444" w:rsidP="008F4A68">
            <w:pPr>
              <w:spacing w:after="200" w:line="276" w:lineRule="auto"/>
              <w:ind w:left="-959" w:firstLine="959"/>
              <w:rPr>
                <w:rFonts w:ascii="Cambria" w:hAnsi="Cambria"/>
                <w:smallCaps/>
                <w:sz w:val="24"/>
                <w:szCs w:val="24"/>
                <w:lang w:eastAsia="en-AU"/>
              </w:rPr>
            </w:pPr>
            <w:r w:rsidRPr="005817D2">
              <w:rPr>
                <w:rFonts w:ascii="Cambria" w:hAnsi="Cambria"/>
                <w:smallCaps/>
                <w:sz w:val="24"/>
                <w:szCs w:val="24"/>
                <w:lang w:eastAsia="en-AU"/>
              </w:rPr>
              <w:t>I</w:t>
            </w:r>
          </w:p>
        </w:tc>
        <w:tc>
          <w:tcPr>
            <w:tcW w:w="7797" w:type="dxa"/>
            <w:gridSpan w:val="2"/>
          </w:tcPr>
          <w:p w14:paraId="435177DA" w14:textId="5A749BB0" w:rsidR="00980444" w:rsidRPr="005817D2" w:rsidRDefault="00980444" w:rsidP="008F4A68">
            <w:pPr>
              <w:spacing w:after="200" w:line="276" w:lineRule="auto"/>
              <w:rPr>
                <w:rFonts w:ascii="Cambria" w:hAnsi="Cambria"/>
                <w:smallCaps/>
                <w:sz w:val="24"/>
                <w:szCs w:val="24"/>
                <w:lang w:eastAsia="en-AU"/>
              </w:rPr>
            </w:pPr>
            <w:r>
              <w:rPr>
                <w:rFonts w:ascii="Cambria" w:hAnsi="Cambria"/>
                <w:smallCaps/>
                <w:sz w:val="24"/>
                <w:szCs w:val="24"/>
                <w:lang w:eastAsia="en-AU"/>
              </w:rPr>
              <w:t xml:space="preserve">Introduction </w:t>
            </w:r>
            <w:r w:rsidRPr="005817D2">
              <w:rPr>
                <w:rFonts w:ascii="Cambria" w:hAnsi="Cambria"/>
                <w:smallCaps/>
                <w:sz w:val="24"/>
                <w:szCs w:val="24"/>
                <w:lang w:eastAsia="en-AU"/>
              </w:rPr>
              <w:t>......</w:t>
            </w:r>
            <w:r>
              <w:rPr>
                <w:rFonts w:ascii="Cambria" w:hAnsi="Cambria"/>
                <w:smallCaps/>
                <w:sz w:val="24"/>
                <w:szCs w:val="24"/>
                <w:lang w:eastAsia="en-AU"/>
              </w:rPr>
              <w:t>.....................................................</w:t>
            </w:r>
            <w:r w:rsidRPr="005817D2">
              <w:rPr>
                <w:rFonts w:ascii="Cambria" w:hAnsi="Cambria"/>
                <w:smallCaps/>
                <w:sz w:val="24"/>
                <w:szCs w:val="24"/>
                <w:lang w:eastAsia="en-AU"/>
              </w:rPr>
              <w:t>....................</w:t>
            </w:r>
          </w:p>
        </w:tc>
        <w:tc>
          <w:tcPr>
            <w:tcW w:w="702" w:type="dxa"/>
          </w:tcPr>
          <w:p w14:paraId="276FB938" w14:textId="77777777" w:rsidR="00980444" w:rsidRPr="005817D2" w:rsidRDefault="00980444" w:rsidP="008F4A68">
            <w:pPr>
              <w:spacing w:after="200" w:line="276" w:lineRule="auto"/>
              <w:ind w:left="-959" w:firstLine="959"/>
              <w:rPr>
                <w:rFonts w:ascii="Cambria" w:hAnsi="Cambria"/>
                <w:smallCaps/>
                <w:sz w:val="24"/>
                <w:szCs w:val="24"/>
                <w:lang w:eastAsia="en-AU"/>
              </w:rPr>
            </w:pPr>
            <w:r>
              <w:rPr>
                <w:rFonts w:ascii="Cambria" w:hAnsi="Cambria"/>
                <w:smallCaps/>
                <w:sz w:val="24"/>
                <w:szCs w:val="24"/>
                <w:lang w:eastAsia="en-AU"/>
              </w:rPr>
              <w:t>x</w:t>
            </w:r>
          </w:p>
        </w:tc>
      </w:tr>
      <w:tr w:rsidR="00980444" w:rsidRPr="005817D2" w14:paraId="039B90DB" w14:textId="77777777" w:rsidTr="0047622D">
        <w:tc>
          <w:tcPr>
            <w:tcW w:w="675" w:type="dxa"/>
          </w:tcPr>
          <w:p w14:paraId="0E0854E5" w14:textId="77777777" w:rsidR="00980444" w:rsidRPr="005817D2" w:rsidRDefault="00980444" w:rsidP="008F4A68">
            <w:pPr>
              <w:spacing w:after="200" w:line="276" w:lineRule="auto"/>
              <w:ind w:left="-959" w:firstLine="959"/>
              <w:rPr>
                <w:rFonts w:ascii="Cambria" w:hAnsi="Cambria"/>
                <w:smallCaps/>
                <w:sz w:val="24"/>
                <w:szCs w:val="24"/>
                <w:lang w:eastAsia="en-AU"/>
              </w:rPr>
            </w:pPr>
            <w:r w:rsidRPr="005817D2">
              <w:rPr>
                <w:rFonts w:ascii="Cambria" w:hAnsi="Cambria"/>
                <w:smallCaps/>
                <w:sz w:val="24"/>
                <w:szCs w:val="24"/>
                <w:lang w:eastAsia="en-AU"/>
              </w:rPr>
              <w:t>II</w:t>
            </w:r>
          </w:p>
        </w:tc>
        <w:tc>
          <w:tcPr>
            <w:tcW w:w="7797" w:type="dxa"/>
            <w:gridSpan w:val="2"/>
          </w:tcPr>
          <w:p w14:paraId="70AD8152" w14:textId="51F08BA3" w:rsidR="00980444" w:rsidRPr="005817D2" w:rsidRDefault="00980444" w:rsidP="008F4A68">
            <w:pPr>
              <w:spacing w:after="200" w:line="276" w:lineRule="auto"/>
              <w:rPr>
                <w:rFonts w:ascii="Cambria" w:hAnsi="Cambria"/>
                <w:smallCaps/>
                <w:sz w:val="24"/>
                <w:szCs w:val="24"/>
                <w:lang w:eastAsia="en-AU"/>
              </w:rPr>
            </w:pPr>
            <w:r>
              <w:rPr>
                <w:rFonts w:ascii="Cambria" w:hAnsi="Cambria"/>
                <w:smallCaps/>
                <w:sz w:val="24"/>
                <w:szCs w:val="24"/>
                <w:lang w:eastAsia="en-AU"/>
              </w:rPr>
              <w:t xml:space="preserve">What are Forensic Procedures and DNA Sampling, Analysis, and </w:t>
            </w:r>
            <w:proofErr w:type="spellStart"/>
            <w:r>
              <w:rPr>
                <w:rFonts w:ascii="Cambria" w:hAnsi="Cambria"/>
                <w:smallCaps/>
                <w:sz w:val="24"/>
                <w:szCs w:val="24"/>
                <w:lang w:eastAsia="en-AU"/>
              </w:rPr>
              <w:t>Databasing</w:t>
            </w:r>
            <w:proofErr w:type="spellEnd"/>
            <w:r>
              <w:rPr>
                <w:rFonts w:ascii="Cambria" w:hAnsi="Cambria"/>
                <w:smallCaps/>
                <w:sz w:val="24"/>
                <w:szCs w:val="24"/>
                <w:lang w:eastAsia="en-AU"/>
              </w:rPr>
              <w:t>, and What Information Does It Make It Possible to Extrapolate? …………………………………………………………………………………....</w:t>
            </w:r>
            <w:r w:rsidRPr="005817D2">
              <w:rPr>
                <w:rFonts w:ascii="Cambria" w:hAnsi="Cambria"/>
                <w:smallCaps/>
                <w:sz w:val="24"/>
                <w:szCs w:val="24"/>
                <w:lang w:eastAsia="en-AU"/>
              </w:rPr>
              <w:t>.......</w:t>
            </w:r>
          </w:p>
        </w:tc>
        <w:tc>
          <w:tcPr>
            <w:tcW w:w="702" w:type="dxa"/>
          </w:tcPr>
          <w:p w14:paraId="4B472677" w14:textId="2DE24784" w:rsidR="00980444" w:rsidRPr="005817D2" w:rsidRDefault="00980444" w:rsidP="0047622D">
            <w:pPr>
              <w:spacing w:after="200" w:line="276" w:lineRule="auto"/>
              <w:rPr>
                <w:rFonts w:ascii="Cambria" w:hAnsi="Cambria"/>
                <w:smallCaps/>
                <w:sz w:val="24"/>
                <w:szCs w:val="24"/>
                <w:lang w:eastAsia="en-AU"/>
              </w:rPr>
            </w:pPr>
            <w:r>
              <w:rPr>
                <w:rFonts w:ascii="Cambria" w:hAnsi="Cambria"/>
                <w:smallCaps/>
                <w:sz w:val="24"/>
                <w:szCs w:val="24"/>
                <w:lang w:eastAsia="en-AU"/>
              </w:rPr>
              <w:br/>
            </w:r>
            <w:r>
              <w:rPr>
                <w:rFonts w:ascii="Cambria" w:hAnsi="Cambria"/>
                <w:smallCaps/>
                <w:sz w:val="24"/>
                <w:szCs w:val="24"/>
                <w:lang w:eastAsia="en-AU"/>
              </w:rPr>
              <w:br/>
              <w:t>x</w:t>
            </w:r>
          </w:p>
        </w:tc>
      </w:tr>
      <w:tr w:rsidR="00980444" w:rsidRPr="005817D2" w14:paraId="0EC4D5A5" w14:textId="77777777" w:rsidTr="0047622D">
        <w:tc>
          <w:tcPr>
            <w:tcW w:w="675" w:type="dxa"/>
          </w:tcPr>
          <w:p w14:paraId="3AA57E26" w14:textId="77777777" w:rsidR="00980444" w:rsidRPr="005817D2" w:rsidRDefault="00980444" w:rsidP="008F4A68">
            <w:pPr>
              <w:spacing w:after="200" w:line="276" w:lineRule="auto"/>
              <w:ind w:left="-959" w:firstLine="959"/>
              <w:rPr>
                <w:rFonts w:ascii="Cambria" w:hAnsi="Cambria"/>
                <w:smallCaps/>
                <w:sz w:val="24"/>
                <w:szCs w:val="24"/>
                <w:lang w:eastAsia="en-AU"/>
              </w:rPr>
            </w:pPr>
            <w:r>
              <w:rPr>
                <w:rFonts w:ascii="Cambria" w:hAnsi="Cambria"/>
                <w:smallCaps/>
                <w:sz w:val="24"/>
                <w:szCs w:val="24"/>
                <w:lang w:eastAsia="en-AU"/>
              </w:rPr>
              <w:t>III</w:t>
            </w:r>
          </w:p>
        </w:tc>
        <w:tc>
          <w:tcPr>
            <w:tcW w:w="7797" w:type="dxa"/>
            <w:gridSpan w:val="2"/>
          </w:tcPr>
          <w:p w14:paraId="79E55922" w14:textId="2E470EF4" w:rsidR="00980444" w:rsidRPr="005817D2" w:rsidRDefault="008F4A68" w:rsidP="008F4A68">
            <w:pPr>
              <w:tabs>
                <w:tab w:val="left" w:pos="4688"/>
              </w:tabs>
              <w:spacing w:after="200" w:line="276" w:lineRule="auto"/>
              <w:rPr>
                <w:rFonts w:ascii="Cambria" w:hAnsi="Cambria"/>
                <w:smallCaps/>
                <w:sz w:val="24"/>
                <w:szCs w:val="24"/>
                <w:lang w:eastAsia="en-AU"/>
              </w:rPr>
            </w:pPr>
            <w:r>
              <w:rPr>
                <w:rFonts w:ascii="Cambria" w:hAnsi="Cambria"/>
                <w:smallCaps/>
                <w:sz w:val="24"/>
                <w:szCs w:val="24"/>
                <w:lang w:eastAsia="en-AU"/>
              </w:rPr>
              <w:t xml:space="preserve">Elaborating the Issues Through a Case Study: Forensic Practices, DNA </w:t>
            </w:r>
            <w:proofErr w:type="spellStart"/>
            <w:r>
              <w:rPr>
                <w:rFonts w:ascii="Cambria" w:hAnsi="Cambria"/>
                <w:smallCaps/>
                <w:sz w:val="24"/>
                <w:szCs w:val="24"/>
                <w:lang w:eastAsia="en-AU"/>
              </w:rPr>
              <w:t>Databasing</w:t>
            </w:r>
            <w:proofErr w:type="spellEnd"/>
            <w:r>
              <w:rPr>
                <w:rFonts w:ascii="Cambria" w:hAnsi="Cambria"/>
                <w:smallCaps/>
                <w:sz w:val="24"/>
                <w:szCs w:val="24"/>
                <w:lang w:eastAsia="en-AU"/>
              </w:rPr>
              <w:t xml:space="preserve">, Young Offenders and the </w:t>
            </w:r>
            <w:r>
              <w:rPr>
                <w:rFonts w:ascii="Cambria" w:hAnsi="Cambria"/>
                <w:i/>
                <w:smallCaps/>
                <w:sz w:val="24"/>
                <w:szCs w:val="24"/>
                <w:lang w:eastAsia="en-AU"/>
              </w:rPr>
              <w:t xml:space="preserve">Police Powers and Responsibilities Act 2000 </w:t>
            </w:r>
            <w:r>
              <w:rPr>
                <w:rFonts w:ascii="Cambria" w:hAnsi="Cambria"/>
                <w:smallCaps/>
                <w:sz w:val="24"/>
                <w:szCs w:val="24"/>
                <w:lang w:eastAsia="en-AU"/>
              </w:rPr>
              <w:t>(</w:t>
            </w:r>
            <w:proofErr w:type="gramStart"/>
            <w:r>
              <w:rPr>
                <w:rFonts w:ascii="Cambria" w:hAnsi="Cambria"/>
                <w:smallCaps/>
                <w:sz w:val="24"/>
                <w:szCs w:val="24"/>
                <w:lang w:eastAsia="en-AU"/>
              </w:rPr>
              <w:t xml:space="preserve">Qld) </w:t>
            </w:r>
            <w:r w:rsidR="00980444">
              <w:rPr>
                <w:rFonts w:ascii="Cambria" w:hAnsi="Cambria"/>
                <w:smallCaps/>
                <w:sz w:val="24"/>
                <w:szCs w:val="24"/>
                <w:lang w:eastAsia="en-AU"/>
              </w:rPr>
              <w:t xml:space="preserve"> </w:t>
            </w:r>
            <w:r>
              <w:rPr>
                <w:rFonts w:ascii="Cambria" w:hAnsi="Cambria"/>
                <w:smallCaps/>
                <w:sz w:val="24"/>
                <w:szCs w:val="24"/>
                <w:lang w:eastAsia="en-AU"/>
              </w:rPr>
              <w:t>…</w:t>
            </w:r>
            <w:proofErr w:type="gramEnd"/>
            <w:r>
              <w:rPr>
                <w:rFonts w:ascii="Cambria" w:hAnsi="Cambria"/>
                <w:smallCaps/>
                <w:sz w:val="24"/>
                <w:szCs w:val="24"/>
                <w:lang w:eastAsia="en-AU"/>
              </w:rPr>
              <w:t>…………………………………………………………</w:t>
            </w:r>
            <w:r w:rsidR="00980444">
              <w:rPr>
                <w:rFonts w:ascii="Cambria" w:hAnsi="Cambria"/>
                <w:smallCaps/>
                <w:sz w:val="24"/>
                <w:szCs w:val="24"/>
                <w:lang w:eastAsia="en-AU"/>
              </w:rPr>
              <w:t>................</w:t>
            </w:r>
            <w:r w:rsidR="00980444" w:rsidRPr="005817D2">
              <w:rPr>
                <w:rFonts w:ascii="Cambria" w:hAnsi="Cambria"/>
                <w:smallCaps/>
                <w:sz w:val="24"/>
                <w:szCs w:val="24"/>
                <w:lang w:eastAsia="en-AU"/>
              </w:rPr>
              <w:t>.....................</w:t>
            </w:r>
          </w:p>
        </w:tc>
        <w:tc>
          <w:tcPr>
            <w:tcW w:w="702" w:type="dxa"/>
          </w:tcPr>
          <w:p w14:paraId="6E996BAE" w14:textId="77157B3B" w:rsidR="008F4A68" w:rsidRPr="005817D2" w:rsidRDefault="008F4A68" w:rsidP="008F4A68">
            <w:pPr>
              <w:spacing w:after="200" w:line="276" w:lineRule="auto"/>
              <w:ind w:left="-959" w:firstLine="959"/>
              <w:rPr>
                <w:rFonts w:ascii="Cambria" w:hAnsi="Cambria"/>
                <w:smallCaps/>
                <w:sz w:val="24"/>
                <w:szCs w:val="24"/>
                <w:lang w:eastAsia="en-AU"/>
              </w:rPr>
            </w:pPr>
            <w:r>
              <w:rPr>
                <w:rFonts w:ascii="Cambria" w:hAnsi="Cambria"/>
                <w:smallCaps/>
                <w:sz w:val="24"/>
                <w:szCs w:val="24"/>
                <w:lang w:eastAsia="en-AU"/>
              </w:rPr>
              <w:t>x</w:t>
            </w:r>
            <w:r>
              <w:rPr>
                <w:rFonts w:ascii="Cambria" w:hAnsi="Cambria"/>
                <w:smallCaps/>
                <w:sz w:val="24"/>
                <w:szCs w:val="24"/>
                <w:lang w:eastAsia="en-AU"/>
              </w:rPr>
              <w:br/>
            </w:r>
            <w:proofErr w:type="spellStart"/>
            <w:r>
              <w:rPr>
                <w:rFonts w:ascii="Cambria" w:hAnsi="Cambria"/>
                <w:smallCaps/>
                <w:sz w:val="24"/>
                <w:szCs w:val="24"/>
                <w:lang w:eastAsia="en-AU"/>
              </w:rPr>
              <w:t>x</w:t>
            </w:r>
            <w:proofErr w:type="spellEnd"/>
            <w:r>
              <w:rPr>
                <w:rFonts w:ascii="Cambria" w:hAnsi="Cambria"/>
                <w:smallCaps/>
                <w:sz w:val="24"/>
                <w:szCs w:val="24"/>
                <w:lang w:eastAsia="en-AU"/>
              </w:rPr>
              <w:br/>
            </w:r>
          </w:p>
        </w:tc>
      </w:tr>
      <w:tr w:rsidR="00980444" w:rsidRPr="005817D2" w14:paraId="46FEB46F" w14:textId="77777777" w:rsidTr="0047622D">
        <w:tc>
          <w:tcPr>
            <w:tcW w:w="675" w:type="dxa"/>
          </w:tcPr>
          <w:p w14:paraId="3044CFEB" w14:textId="77777777" w:rsidR="00980444" w:rsidRPr="005817D2" w:rsidRDefault="00980444" w:rsidP="008F4A68">
            <w:pPr>
              <w:spacing w:after="200" w:line="276" w:lineRule="auto"/>
              <w:ind w:left="-959" w:firstLine="959"/>
              <w:rPr>
                <w:rFonts w:ascii="Cambria" w:hAnsi="Cambria"/>
                <w:smallCaps/>
                <w:sz w:val="24"/>
                <w:szCs w:val="24"/>
                <w:lang w:eastAsia="en-AU"/>
              </w:rPr>
            </w:pPr>
          </w:p>
        </w:tc>
        <w:tc>
          <w:tcPr>
            <w:tcW w:w="485" w:type="dxa"/>
          </w:tcPr>
          <w:p w14:paraId="5AE92DF5" w14:textId="77777777" w:rsidR="00980444" w:rsidRPr="005817D2" w:rsidRDefault="00980444" w:rsidP="008F4A68">
            <w:pPr>
              <w:tabs>
                <w:tab w:val="left" w:pos="4688"/>
              </w:tabs>
              <w:spacing w:after="200" w:line="276" w:lineRule="auto"/>
              <w:rPr>
                <w:rFonts w:ascii="Cambria" w:hAnsi="Cambria"/>
                <w:smallCaps/>
                <w:sz w:val="24"/>
                <w:szCs w:val="24"/>
                <w:lang w:eastAsia="en-AU"/>
              </w:rPr>
            </w:pPr>
          </w:p>
        </w:tc>
        <w:tc>
          <w:tcPr>
            <w:tcW w:w="7312" w:type="dxa"/>
          </w:tcPr>
          <w:p w14:paraId="3E94E3B3" w14:textId="5115481A" w:rsidR="00980444" w:rsidRPr="005817D2" w:rsidRDefault="00980444" w:rsidP="008F4A68">
            <w:pPr>
              <w:tabs>
                <w:tab w:val="left" w:pos="4688"/>
              </w:tabs>
              <w:spacing w:after="200" w:line="276" w:lineRule="auto"/>
              <w:rPr>
                <w:rFonts w:ascii="Cambria" w:hAnsi="Cambria"/>
                <w:smallCaps/>
                <w:sz w:val="24"/>
                <w:szCs w:val="24"/>
                <w:lang w:eastAsia="en-AU"/>
              </w:rPr>
            </w:pPr>
            <w:r w:rsidRPr="00F31068">
              <w:rPr>
                <w:rFonts w:ascii="Cambria" w:hAnsi="Cambria"/>
                <w:iCs/>
                <w:smallCaps/>
                <w:noProof/>
                <w:sz w:val="24"/>
                <w:szCs w:val="24"/>
                <w:lang w:eastAsia="en-AU"/>
              </w:rPr>
              <w:t>A</w:t>
            </w:r>
            <w:r w:rsidRPr="00F31068">
              <w:rPr>
                <w:rFonts w:ascii="Cambria" w:hAnsi="Cambria"/>
                <w:i/>
                <w:smallCaps/>
                <w:noProof/>
                <w:sz w:val="24"/>
                <w:szCs w:val="24"/>
                <w:lang w:eastAsia="en-AU"/>
              </w:rPr>
              <w:t xml:space="preserve"> </w:t>
            </w:r>
            <w:r w:rsidR="008F4A68">
              <w:rPr>
                <w:rFonts w:ascii="Cambria" w:hAnsi="Cambria"/>
                <w:i/>
                <w:noProof/>
                <w:sz w:val="24"/>
                <w:szCs w:val="24"/>
                <w:lang w:eastAsia="en-AU"/>
              </w:rPr>
              <w:t>What Issues are Raised Around Forensic Procedures with Young People?</w:t>
            </w:r>
            <w:r w:rsidRPr="005817D2">
              <w:rPr>
                <w:rFonts w:ascii="Cambria" w:hAnsi="Cambria"/>
                <w:i/>
                <w:sz w:val="24"/>
                <w:szCs w:val="24"/>
                <w:lang w:eastAsia="en-AU"/>
              </w:rPr>
              <w:t xml:space="preserve"> </w:t>
            </w:r>
            <w:r>
              <w:rPr>
                <w:rFonts w:ascii="Cambria" w:hAnsi="Cambria"/>
                <w:i/>
                <w:sz w:val="24"/>
                <w:szCs w:val="24"/>
                <w:lang w:eastAsia="en-AU"/>
              </w:rPr>
              <w:t>………………..</w:t>
            </w:r>
            <w:r w:rsidRPr="005817D2">
              <w:rPr>
                <w:rFonts w:ascii="Cambria" w:hAnsi="Cambria"/>
                <w:i/>
                <w:smallCaps/>
                <w:sz w:val="24"/>
                <w:szCs w:val="24"/>
                <w:lang w:eastAsia="en-AU"/>
              </w:rPr>
              <w:t>.</w:t>
            </w:r>
            <w:r w:rsidRPr="005817D2">
              <w:rPr>
                <w:rFonts w:ascii="Cambria" w:hAnsi="Cambria"/>
                <w:sz w:val="24"/>
                <w:szCs w:val="24"/>
                <w:lang w:eastAsia="en-AU"/>
              </w:rPr>
              <w:t>........................................................................</w:t>
            </w:r>
            <w:r w:rsidR="008F4A68">
              <w:rPr>
                <w:rFonts w:ascii="Cambria" w:hAnsi="Cambria"/>
                <w:sz w:val="24"/>
                <w:szCs w:val="24"/>
                <w:lang w:eastAsia="en-AU"/>
              </w:rPr>
              <w:t>...............................</w:t>
            </w:r>
          </w:p>
        </w:tc>
        <w:tc>
          <w:tcPr>
            <w:tcW w:w="702" w:type="dxa"/>
          </w:tcPr>
          <w:p w14:paraId="70F01FBE" w14:textId="77777777" w:rsidR="00980444" w:rsidRPr="005817D2" w:rsidRDefault="00980444" w:rsidP="008F4A68">
            <w:pPr>
              <w:spacing w:after="200" w:line="276" w:lineRule="auto"/>
              <w:ind w:left="-959" w:firstLine="959"/>
              <w:rPr>
                <w:rFonts w:ascii="Cambria" w:hAnsi="Cambria"/>
                <w:smallCaps/>
                <w:sz w:val="24"/>
                <w:szCs w:val="24"/>
                <w:lang w:eastAsia="en-AU"/>
              </w:rPr>
            </w:pPr>
            <w:r>
              <w:rPr>
                <w:rFonts w:ascii="Cambria" w:hAnsi="Cambria"/>
                <w:smallCaps/>
                <w:sz w:val="24"/>
                <w:szCs w:val="24"/>
                <w:lang w:eastAsia="en-AU"/>
              </w:rPr>
              <w:t>x</w:t>
            </w:r>
          </w:p>
        </w:tc>
      </w:tr>
      <w:tr w:rsidR="00980444" w:rsidRPr="005817D2" w14:paraId="6FEC77CC" w14:textId="77777777" w:rsidTr="0047622D">
        <w:tc>
          <w:tcPr>
            <w:tcW w:w="675" w:type="dxa"/>
          </w:tcPr>
          <w:p w14:paraId="345CDC45" w14:textId="77777777" w:rsidR="00980444" w:rsidRPr="005817D2" w:rsidRDefault="00980444" w:rsidP="008F4A68">
            <w:pPr>
              <w:spacing w:after="200" w:line="276" w:lineRule="auto"/>
              <w:ind w:left="-959" w:firstLine="959"/>
              <w:rPr>
                <w:rFonts w:ascii="Cambria" w:hAnsi="Cambria"/>
                <w:smallCaps/>
                <w:sz w:val="24"/>
                <w:szCs w:val="24"/>
                <w:lang w:eastAsia="en-AU"/>
              </w:rPr>
            </w:pPr>
          </w:p>
        </w:tc>
        <w:tc>
          <w:tcPr>
            <w:tcW w:w="485" w:type="dxa"/>
          </w:tcPr>
          <w:p w14:paraId="697B03A7" w14:textId="77777777" w:rsidR="00980444" w:rsidRPr="005817D2" w:rsidRDefault="00980444" w:rsidP="008F4A68">
            <w:pPr>
              <w:tabs>
                <w:tab w:val="left" w:pos="4688"/>
              </w:tabs>
              <w:spacing w:after="200" w:line="276" w:lineRule="auto"/>
              <w:rPr>
                <w:rFonts w:ascii="Cambria" w:hAnsi="Cambria"/>
                <w:smallCaps/>
                <w:sz w:val="24"/>
                <w:szCs w:val="24"/>
                <w:lang w:eastAsia="en-AU"/>
              </w:rPr>
            </w:pPr>
          </w:p>
        </w:tc>
        <w:tc>
          <w:tcPr>
            <w:tcW w:w="7312" w:type="dxa"/>
          </w:tcPr>
          <w:p w14:paraId="2F480D8A" w14:textId="618AF972" w:rsidR="00980444" w:rsidRPr="005817D2" w:rsidRDefault="00980444" w:rsidP="00C36D4C">
            <w:pPr>
              <w:tabs>
                <w:tab w:val="left" w:pos="4688"/>
              </w:tabs>
              <w:spacing w:after="200" w:line="276" w:lineRule="auto"/>
              <w:rPr>
                <w:rFonts w:ascii="Cambria" w:hAnsi="Cambria"/>
                <w:iCs/>
                <w:smallCaps/>
                <w:sz w:val="24"/>
                <w:szCs w:val="24"/>
                <w:lang w:eastAsia="en-AU"/>
              </w:rPr>
            </w:pPr>
            <w:r w:rsidRPr="005817D2">
              <w:rPr>
                <w:rFonts w:ascii="Cambria" w:hAnsi="Cambria"/>
                <w:iCs/>
                <w:smallCaps/>
                <w:sz w:val="24"/>
                <w:szCs w:val="24"/>
                <w:lang w:eastAsia="en-AU"/>
              </w:rPr>
              <w:t>B</w:t>
            </w:r>
            <w:r w:rsidRPr="005817D2">
              <w:rPr>
                <w:rFonts w:ascii="Cambria" w:hAnsi="Cambria"/>
                <w:i/>
                <w:smallCaps/>
                <w:sz w:val="24"/>
                <w:szCs w:val="24"/>
                <w:lang w:eastAsia="en-AU"/>
              </w:rPr>
              <w:t xml:space="preserve"> </w:t>
            </w:r>
            <w:r w:rsidR="00C36D4C">
              <w:rPr>
                <w:rFonts w:ascii="Cambria" w:hAnsi="Cambria"/>
                <w:i/>
                <w:sz w:val="24"/>
                <w:szCs w:val="24"/>
                <w:lang w:eastAsia="en-AU"/>
              </w:rPr>
              <w:t xml:space="preserve">What Issues are Raised Around DNA </w:t>
            </w:r>
            <w:proofErr w:type="spellStart"/>
            <w:r w:rsidR="00C36D4C">
              <w:rPr>
                <w:rFonts w:ascii="Cambria" w:hAnsi="Cambria"/>
                <w:i/>
                <w:sz w:val="24"/>
                <w:szCs w:val="24"/>
                <w:lang w:eastAsia="en-AU"/>
              </w:rPr>
              <w:t>Databasing</w:t>
            </w:r>
            <w:proofErr w:type="spellEnd"/>
            <w:r w:rsidR="00C36D4C">
              <w:rPr>
                <w:rFonts w:ascii="Cambria" w:hAnsi="Cambria"/>
                <w:i/>
                <w:sz w:val="24"/>
                <w:szCs w:val="24"/>
                <w:lang w:eastAsia="en-AU"/>
              </w:rPr>
              <w:t xml:space="preserve"> with Young </w:t>
            </w:r>
            <w:proofErr w:type="gramStart"/>
            <w:r w:rsidR="00C36D4C">
              <w:rPr>
                <w:rFonts w:ascii="Cambria" w:hAnsi="Cambria"/>
                <w:i/>
                <w:sz w:val="24"/>
                <w:szCs w:val="24"/>
                <w:lang w:eastAsia="en-AU"/>
              </w:rPr>
              <w:t>People?..</w:t>
            </w:r>
            <w:proofErr w:type="gramEnd"/>
          </w:p>
        </w:tc>
        <w:tc>
          <w:tcPr>
            <w:tcW w:w="702" w:type="dxa"/>
          </w:tcPr>
          <w:p w14:paraId="7A3C21E0" w14:textId="77777777" w:rsidR="00980444" w:rsidRPr="005817D2" w:rsidRDefault="00980444" w:rsidP="008F4A68">
            <w:pPr>
              <w:spacing w:after="200" w:line="276" w:lineRule="auto"/>
              <w:rPr>
                <w:rFonts w:ascii="Cambria" w:hAnsi="Cambria"/>
                <w:smallCaps/>
                <w:sz w:val="24"/>
                <w:szCs w:val="24"/>
                <w:lang w:eastAsia="en-AU"/>
              </w:rPr>
            </w:pPr>
            <w:r>
              <w:rPr>
                <w:rFonts w:ascii="Cambria" w:hAnsi="Cambria"/>
                <w:smallCaps/>
                <w:sz w:val="24"/>
                <w:szCs w:val="24"/>
                <w:lang w:eastAsia="en-AU"/>
              </w:rPr>
              <w:t>x</w:t>
            </w:r>
          </w:p>
        </w:tc>
      </w:tr>
      <w:tr w:rsidR="00980444" w:rsidRPr="005817D2" w14:paraId="5989E387" w14:textId="77777777" w:rsidTr="0047622D">
        <w:tc>
          <w:tcPr>
            <w:tcW w:w="675" w:type="dxa"/>
          </w:tcPr>
          <w:p w14:paraId="3A3DD060" w14:textId="77777777" w:rsidR="00980444" w:rsidRPr="005817D2" w:rsidRDefault="00980444" w:rsidP="008F4A68">
            <w:pPr>
              <w:spacing w:after="200" w:line="276" w:lineRule="auto"/>
              <w:ind w:left="-959" w:firstLine="959"/>
              <w:rPr>
                <w:rFonts w:ascii="Cambria" w:hAnsi="Cambria"/>
                <w:smallCaps/>
                <w:sz w:val="24"/>
                <w:szCs w:val="24"/>
                <w:lang w:eastAsia="en-AU"/>
              </w:rPr>
            </w:pPr>
            <w:r>
              <w:rPr>
                <w:rFonts w:ascii="Cambria" w:hAnsi="Cambria"/>
                <w:smallCaps/>
                <w:sz w:val="24"/>
                <w:szCs w:val="24"/>
                <w:lang w:eastAsia="en-AU"/>
              </w:rPr>
              <w:t>I</w:t>
            </w:r>
            <w:r w:rsidRPr="005817D2">
              <w:rPr>
                <w:rFonts w:ascii="Cambria" w:hAnsi="Cambria"/>
                <w:smallCaps/>
                <w:sz w:val="24"/>
                <w:szCs w:val="24"/>
                <w:lang w:eastAsia="en-AU"/>
              </w:rPr>
              <w:t>V</w:t>
            </w:r>
          </w:p>
        </w:tc>
        <w:tc>
          <w:tcPr>
            <w:tcW w:w="7797" w:type="dxa"/>
            <w:gridSpan w:val="2"/>
          </w:tcPr>
          <w:p w14:paraId="706FD4F4" w14:textId="2B9063E1" w:rsidR="00980444" w:rsidRPr="005817D2" w:rsidRDefault="00C36D4C" w:rsidP="008F4A68">
            <w:pPr>
              <w:tabs>
                <w:tab w:val="left" w:pos="4688"/>
              </w:tabs>
              <w:spacing w:after="200" w:line="276" w:lineRule="auto"/>
              <w:rPr>
                <w:rFonts w:ascii="Cambria" w:hAnsi="Cambria"/>
                <w:smallCaps/>
                <w:sz w:val="24"/>
                <w:szCs w:val="24"/>
                <w:lang w:eastAsia="en-AU"/>
              </w:rPr>
            </w:pPr>
            <w:r>
              <w:rPr>
                <w:rFonts w:ascii="Cambria" w:hAnsi="Cambria"/>
                <w:smallCaps/>
                <w:sz w:val="24"/>
                <w:szCs w:val="24"/>
                <w:lang w:eastAsia="en-AU"/>
              </w:rPr>
              <w:t>Future Directions</w:t>
            </w:r>
            <w:r w:rsidR="00980444" w:rsidRPr="005817D2">
              <w:rPr>
                <w:rFonts w:ascii="Cambria" w:hAnsi="Cambria"/>
                <w:smallCaps/>
                <w:sz w:val="24"/>
                <w:szCs w:val="24"/>
                <w:lang w:eastAsia="en-AU"/>
              </w:rPr>
              <w:t xml:space="preserve"> </w:t>
            </w:r>
            <w:r>
              <w:rPr>
                <w:rFonts w:ascii="Cambria" w:hAnsi="Cambria"/>
                <w:smallCaps/>
                <w:sz w:val="24"/>
                <w:szCs w:val="24"/>
                <w:lang w:eastAsia="en-AU"/>
              </w:rPr>
              <w:t>……………...</w:t>
            </w:r>
            <w:r w:rsidR="00980444" w:rsidRPr="005817D2">
              <w:rPr>
                <w:rFonts w:ascii="Cambria" w:hAnsi="Cambria"/>
                <w:smallCaps/>
                <w:sz w:val="24"/>
                <w:szCs w:val="24"/>
                <w:lang w:eastAsia="en-AU"/>
              </w:rPr>
              <w:t>...................................................................................</w:t>
            </w:r>
            <w:r w:rsidR="00980444">
              <w:rPr>
                <w:rFonts w:ascii="Cambria" w:hAnsi="Cambria"/>
                <w:smallCaps/>
                <w:sz w:val="24"/>
                <w:szCs w:val="24"/>
                <w:lang w:eastAsia="en-AU"/>
              </w:rPr>
              <w:t>...........</w:t>
            </w:r>
          </w:p>
        </w:tc>
        <w:tc>
          <w:tcPr>
            <w:tcW w:w="702" w:type="dxa"/>
          </w:tcPr>
          <w:p w14:paraId="0D498BEE" w14:textId="77777777" w:rsidR="00980444" w:rsidRPr="005817D2" w:rsidRDefault="00980444" w:rsidP="008F4A68">
            <w:pPr>
              <w:spacing w:after="200" w:line="276" w:lineRule="auto"/>
              <w:rPr>
                <w:rFonts w:ascii="Cambria" w:hAnsi="Cambria"/>
                <w:smallCaps/>
                <w:sz w:val="24"/>
                <w:szCs w:val="24"/>
                <w:lang w:eastAsia="en-AU"/>
              </w:rPr>
            </w:pPr>
            <w:r>
              <w:rPr>
                <w:rFonts w:ascii="Cambria" w:hAnsi="Cambria"/>
                <w:smallCaps/>
                <w:sz w:val="24"/>
                <w:szCs w:val="24"/>
                <w:lang w:eastAsia="en-AU"/>
              </w:rPr>
              <w:t>x</w:t>
            </w:r>
          </w:p>
        </w:tc>
      </w:tr>
    </w:tbl>
    <w:p w14:paraId="279FB509" w14:textId="77777777" w:rsidR="00980444" w:rsidRDefault="00980444" w:rsidP="00B23570">
      <w:pPr>
        <w:pStyle w:val="TOC2"/>
        <w:tabs>
          <w:tab w:val="right" w:leader="dot" w:pos="8290"/>
        </w:tabs>
        <w:spacing w:after="200"/>
        <w:ind w:left="0"/>
        <w:rPr>
          <w:rFonts w:ascii="Cambria" w:eastAsiaTheme="majorEastAsia" w:hAnsi="Cambria" w:cstheme="majorBidi"/>
          <w:sz w:val="28"/>
          <w:szCs w:val="28"/>
        </w:rPr>
      </w:pPr>
    </w:p>
    <w:p w14:paraId="30EB621B" w14:textId="77777777" w:rsidR="00555173" w:rsidRPr="00B23570" w:rsidRDefault="00146FBC" w:rsidP="00671A38">
      <w:pPr>
        <w:spacing w:before="360" w:line="360" w:lineRule="auto"/>
        <w:jc w:val="center"/>
        <w:outlineLvl w:val="0"/>
        <w:rPr>
          <w:rFonts w:ascii="Cambria" w:eastAsia="Cambria" w:hAnsi="Cambria" w:cs="Cambria"/>
          <w:sz w:val="24"/>
          <w:szCs w:val="24"/>
        </w:rPr>
      </w:pPr>
      <w:r w:rsidRPr="00B23570">
        <w:rPr>
          <w:rFonts w:ascii="Cambria" w:eastAsia="Cambria" w:hAnsi="Cambria" w:cs="Cambria"/>
          <w:smallCaps/>
          <w:sz w:val="24"/>
          <w:szCs w:val="24"/>
        </w:rPr>
        <w:t xml:space="preserve">I </w:t>
      </w:r>
      <w:r w:rsidR="00555173" w:rsidRPr="00B23570">
        <w:rPr>
          <w:rFonts w:ascii="Cambria" w:eastAsia="Cambria" w:hAnsi="Cambria" w:cs="Cambria"/>
          <w:smallCaps/>
          <w:sz w:val="24"/>
          <w:szCs w:val="24"/>
        </w:rPr>
        <w:t>Introduction</w:t>
      </w:r>
    </w:p>
    <w:p w14:paraId="4070D4FA" w14:textId="20875F2A" w:rsidR="00555173" w:rsidRPr="00C74A2C" w:rsidRDefault="00555173" w:rsidP="00555173">
      <w:pPr>
        <w:spacing w:line="360" w:lineRule="auto"/>
        <w:jc w:val="both"/>
        <w:rPr>
          <w:rFonts w:ascii="Cambria" w:hAnsi="Cambria"/>
          <w:sz w:val="24"/>
          <w:szCs w:val="24"/>
        </w:rPr>
      </w:pPr>
      <w:r w:rsidRPr="00C74A2C">
        <w:rPr>
          <w:rFonts w:ascii="Cambria" w:eastAsiaTheme="majorEastAsia" w:hAnsi="Cambria" w:cstheme="majorBidi"/>
          <w:sz w:val="24"/>
          <w:szCs w:val="24"/>
        </w:rPr>
        <w:t xml:space="preserve">The </w:t>
      </w:r>
      <w:r w:rsidR="00CF3C7A" w:rsidRPr="00C74A2C">
        <w:rPr>
          <w:rFonts w:ascii="Cambria" w:eastAsiaTheme="majorEastAsia" w:hAnsi="Cambria" w:cstheme="majorBidi"/>
          <w:sz w:val="24"/>
          <w:szCs w:val="24"/>
        </w:rPr>
        <w:t xml:space="preserve">nexus </w:t>
      </w:r>
      <w:r w:rsidRPr="00C74A2C">
        <w:rPr>
          <w:rFonts w:ascii="Cambria" w:eastAsiaTheme="majorEastAsia" w:hAnsi="Cambria" w:cstheme="majorBidi"/>
          <w:sz w:val="24"/>
          <w:szCs w:val="24"/>
        </w:rPr>
        <w:t xml:space="preserve">between forensic science and policing, particularly in regard to </w:t>
      </w:r>
      <w:r w:rsidR="00CF3C7A" w:rsidRPr="00C74A2C">
        <w:rPr>
          <w:rFonts w:ascii="Cambria" w:eastAsiaTheme="majorEastAsia" w:hAnsi="Cambria" w:cstheme="majorBidi"/>
          <w:sz w:val="24"/>
          <w:szCs w:val="24"/>
        </w:rPr>
        <w:t>forensic procedures</w:t>
      </w:r>
      <w:r w:rsidR="003B68BB" w:rsidRPr="00C74A2C">
        <w:rPr>
          <w:rFonts w:ascii="Cambria" w:eastAsiaTheme="majorEastAsia" w:hAnsi="Cambria" w:cstheme="majorBidi"/>
          <w:sz w:val="24"/>
          <w:szCs w:val="24"/>
        </w:rPr>
        <w:t>,</w:t>
      </w:r>
      <w:r w:rsidR="00CF3C7A"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DNA collection</w:t>
      </w:r>
      <w:r w:rsidR="003B68BB" w:rsidRPr="00C74A2C">
        <w:rPr>
          <w:rFonts w:ascii="Cambria" w:eastAsiaTheme="majorEastAsia" w:hAnsi="Cambria" w:cstheme="majorBidi"/>
          <w:sz w:val="24"/>
          <w:szCs w:val="24"/>
        </w:rPr>
        <w:t xml:space="preserve"> and analysis,</w:t>
      </w:r>
      <w:r w:rsidRPr="00C74A2C">
        <w:rPr>
          <w:rFonts w:ascii="Cambria" w:eastAsiaTheme="majorEastAsia" w:hAnsi="Cambria" w:cstheme="majorBidi"/>
          <w:sz w:val="24"/>
          <w:szCs w:val="24"/>
        </w:rPr>
        <w:t xml:space="preserve"> and </w:t>
      </w:r>
      <w:r w:rsidR="003B68BB" w:rsidRPr="00C74A2C">
        <w:rPr>
          <w:rFonts w:ascii="Cambria" w:eastAsiaTheme="majorEastAsia" w:hAnsi="Cambria" w:cstheme="majorBidi"/>
          <w:sz w:val="24"/>
          <w:szCs w:val="24"/>
        </w:rPr>
        <w:t xml:space="preserve">DNA profile </w:t>
      </w:r>
      <w:r w:rsidRPr="00C74A2C">
        <w:rPr>
          <w:rFonts w:ascii="Cambria" w:eastAsiaTheme="majorEastAsia" w:hAnsi="Cambria" w:cstheme="majorBidi"/>
          <w:sz w:val="24"/>
          <w:szCs w:val="24"/>
        </w:rPr>
        <w:t xml:space="preserve">retention, continues to be </w:t>
      </w:r>
      <w:r w:rsidR="00AF68A9" w:rsidRPr="00C74A2C">
        <w:rPr>
          <w:rFonts w:ascii="Cambria" w:eastAsiaTheme="majorEastAsia" w:hAnsi="Cambria" w:cstheme="majorBidi"/>
          <w:sz w:val="24"/>
          <w:szCs w:val="24"/>
        </w:rPr>
        <w:t>characterised</w:t>
      </w:r>
      <w:r w:rsidRPr="00C74A2C">
        <w:rPr>
          <w:rFonts w:ascii="Cambria" w:eastAsiaTheme="majorEastAsia" w:hAnsi="Cambria" w:cstheme="majorBidi"/>
          <w:sz w:val="24"/>
          <w:szCs w:val="24"/>
        </w:rPr>
        <w:t xml:space="preserve"> by controversy. </w:t>
      </w:r>
      <w:r w:rsidR="003B68BB" w:rsidRPr="00C74A2C">
        <w:rPr>
          <w:rFonts w:ascii="Cambria" w:eastAsiaTheme="majorEastAsia" w:hAnsi="Cambria" w:cstheme="majorBidi"/>
          <w:sz w:val="24"/>
          <w:szCs w:val="24"/>
        </w:rPr>
        <w:t xml:space="preserve">The establishment of </w:t>
      </w:r>
      <w:r w:rsidR="002073D3" w:rsidRPr="00C74A2C">
        <w:rPr>
          <w:rFonts w:ascii="Cambria" w:eastAsiaTheme="majorEastAsia" w:hAnsi="Cambria" w:cstheme="majorBidi"/>
          <w:sz w:val="24"/>
          <w:szCs w:val="24"/>
        </w:rPr>
        <w:t xml:space="preserve">DNA databases </w:t>
      </w:r>
      <w:r w:rsidR="003B68BB" w:rsidRPr="00C74A2C">
        <w:rPr>
          <w:rFonts w:ascii="Cambria" w:eastAsiaTheme="majorEastAsia" w:hAnsi="Cambria" w:cstheme="majorBidi"/>
          <w:sz w:val="24"/>
          <w:szCs w:val="24"/>
        </w:rPr>
        <w:t>alone ha</w:t>
      </w:r>
      <w:r w:rsidR="005D3B6D">
        <w:rPr>
          <w:rFonts w:ascii="Cambria" w:eastAsiaTheme="majorEastAsia" w:hAnsi="Cambria" w:cstheme="majorBidi"/>
          <w:sz w:val="24"/>
          <w:szCs w:val="24"/>
        </w:rPr>
        <w:t>s</w:t>
      </w:r>
      <w:r w:rsidR="003B68BB" w:rsidRPr="00C74A2C">
        <w:rPr>
          <w:rFonts w:ascii="Cambria" w:eastAsiaTheme="majorEastAsia" w:hAnsi="Cambria" w:cstheme="majorBidi"/>
          <w:sz w:val="24"/>
          <w:szCs w:val="24"/>
        </w:rPr>
        <w:t xml:space="preserve"> proliferated </w:t>
      </w:r>
      <w:r w:rsidR="002073D3" w:rsidRPr="00C74A2C">
        <w:rPr>
          <w:rFonts w:ascii="Cambria" w:eastAsiaTheme="majorEastAsia" w:hAnsi="Cambria" w:cstheme="majorBidi"/>
          <w:sz w:val="24"/>
          <w:szCs w:val="24"/>
        </w:rPr>
        <w:t>worldwide, including Australia</w:t>
      </w:r>
      <w:r w:rsidR="00F030C8" w:rsidRPr="00C74A2C">
        <w:rPr>
          <w:rFonts w:ascii="Cambria" w:eastAsiaTheme="majorEastAsia" w:hAnsi="Cambria" w:cstheme="majorBidi"/>
          <w:sz w:val="24"/>
          <w:szCs w:val="24"/>
        </w:rPr>
        <w:t>.</w:t>
      </w:r>
      <w:r w:rsidR="002073D3" w:rsidRPr="00C74A2C">
        <w:rPr>
          <w:rFonts w:ascii="Cambria" w:eastAsiaTheme="majorEastAsia" w:hAnsi="Cambria" w:cstheme="majorBidi"/>
          <w:sz w:val="24"/>
          <w:szCs w:val="24"/>
          <w:vertAlign w:val="superscript"/>
        </w:rPr>
        <w:footnoteReference w:id="3"/>
      </w:r>
      <w:r w:rsidR="005B2F22" w:rsidRPr="00C74A2C">
        <w:rPr>
          <w:rFonts w:ascii="Cambria" w:eastAsiaTheme="majorEastAsia" w:hAnsi="Cambria" w:cstheme="majorBidi"/>
          <w:sz w:val="24"/>
          <w:szCs w:val="24"/>
        </w:rPr>
        <w:t xml:space="preserve"> </w:t>
      </w:r>
      <w:r w:rsidR="003B68BB" w:rsidRPr="00C74A2C">
        <w:rPr>
          <w:rFonts w:ascii="Cambria" w:eastAsiaTheme="majorEastAsia" w:hAnsi="Cambria" w:cstheme="majorBidi"/>
          <w:sz w:val="24"/>
          <w:szCs w:val="24"/>
        </w:rPr>
        <w:t xml:space="preserve">Western nations are leading the development of the nexus between these practices in policing and criminal processing systems. </w:t>
      </w:r>
      <w:r w:rsidR="003B68BB" w:rsidRPr="0009255C">
        <w:rPr>
          <w:rFonts w:ascii="Cambria" w:eastAsiaTheme="majorEastAsia" w:hAnsi="Cambria" w:cstheme="majorBidi"/>
          <w:sz w:val="24"/>
          <w:szCs w:val="24"/>
        </w:rPr>
        <w:t>For example, as early as 2009</w:t>
      </w:r>
      <w:r w:rsidR="00054353">
        <w:rPr>
          <w:rFonts w:ascii="Cambria" w:eastAsiaTheme="majorEastAsia" w:hAnsi="Cambria" w:cstheme="majorBidi"/>
          <w:sz w:val="24"/>
          <w:szCs w:val="24"/>
        </w:rPr>
        <w:t>,</w:t>
      </w:r>
      <w:r w:rsidR="003B68BB" w:rsidRPr="0009255C">
        <w:rPr>
          <w:rFonts w:ascii="Cambria" w:eastAsiaTheme="majorEastAsia" w:hAnsi="Cambria" w:cstheme="majorBidi"/>
          <w:sz w:val="24"/>
          <w:szCs w:val="24"/>
        </w:rPr>
        <w:t xml:space="preserve"> the United States saw the implementation of pre</w:t>
      </w:r>
      <w:r w:rsidR="00D307F4">
        <w:rPr>
          <w:rFonts w:ascii="Cambria" w:eastAsiaTheme="majorEastAsia" w:hAnsi="Cambria" w:cstheme="majorBidi"/>
          <w:sz w:val="24"/>
          <w:szCs w:val="24"/>
        </w:rPr>
        <w:t>-</w:t>
      </w:r>
      <w:r w:rsidR="003B68BB" w:rsidRPr="0009255C">
        <w:rPr>
          <w:rFonts w:ascii="Cambria" w:eastAsiaTheme="majorEastAsia" w:hAnsi="Cambria" w:cstheme="majorBidi"/>
          <w:sz w:val="24"/>
          <w:szCs w:val="24"/>
        </w:rPr>
        <w:t>conviction DNA collection.</w:t>
      </w:r>
      <w:r w:rsidR="00E355B1" w:rsidRPr="0009255C">
        <w:rPr>
          <w:rStyle w:val="FootnoteReference"/>
          <w:rFonts w:ascii="Cambria" w:eastAsiaTheme="majorEastAsia" w:hAnsi="Cambria" w:cstheme="majorBidi"/>
          <w:sz w:val="24"/>
          <w:szCs w:val="24"/>
        </w:rPr>
        <w:footnoteReference w:id="4"/>
      </w:r>
      <w:r w:rsidR="003B68BB" w:rsidRPr="00C74A2C">
        <w:rPr>
          <w:rFonts w:ascii="Cambria" w:eastAsiaTheme="majorEastAsia" w:hAnsi="Cambria" w:cstheme="majorBidi"/>
          <w:sz w:val="24"/>
          <w:szCs w:val="24"/>
        </w:rPr>
        <w:t xml:space="preserve"> This means that those who have not even been convicted of crimes are subject to these measures and they now have the largest DNA </w:t>
      </w:r>
      <w:r w:rsidR="003B68BB" w:rsidRPr="00C74A2C">
        <w:rPr>
          <w:rFonts w:ascii="Cambria" w:eastAsiaTheme="majorEastAsia" w:hAnsi="Cambria" w:cstheme="majorBidi"/>
          <w:sz w:val="24"/>
          <w:szCs w:val="24"/>
        </w:rPr>
        <w:lastRenderedPageBreak/>
        <w:t xml:space="preserve">database in the world with the FBI’s instituted Combined DNA Index System (CODIS). This situation could only be </w:t>
      </w:r>
      <w:r w:rsidR="00195DB6" w:rsidRPr="00C74A2C">
        <w:rPr>
          <w:rFonts w:ascii="Cambria" w:eastAsiaTheme="majorEastAsia" w:hAnsi="Cambria" w:cstheme="majorBidi"/>
          <w:sz w:val="24"/>
          <w:szCs w:val="24"/>
        </w:rPr>
        <w:t>outdone</w:t>
      </w:r>
      <w:r w:rsidR="003B68BB" w:rsidRPr="00C74A2C">
        <w:rPr>
          <w:rFonts w:ascii="Cambria" w:eastAsiaTheme="majorEastAsia" w:hAnsi="Cambria" w:cstheme="majorBidi"/>
          <w:sz w:val="24"/>
          <w:szCs w:val="24"/>
        </w:rPr>
        <w:t xml:space="preserve"> by recent moves in the United Kingdom, the country that initially lead the international field by creating the world’s largest DNA database, where</w:t>
      </w:r>
      <w:r w:rsidR="00C70F69" w:rsidRPr="00C74A2C">
        <w:rPr>
          <w:rFonts w:ascii="Cambria" w:eastAsiaTheme="majorEastAsia" w:hAnsi="Cambria" w:cstheme="majorBidi"/>
          <w:sz w:val="24"/>
          <w:szCs w:val="24"/>
        </w:rPr>
        <w:t xml:space="preserve"> a recent government White Paper proposed ‘the creation of a univers</w:t>
      </w:r>
      <w:r w:rsidR="00844725" w:rsidRPr="00C74A2C">
        <w:rPr>
          <w:rFonts w:ascii="Cambria" w:eastAsiaTheme="majorEastAsia" w:hAnsi="Cambria" w:cstheme="majorBidi"/>
          <w:sz w:val="24"/>
          <w:szCs w:val="24"/>
        </w:rPr>
        <w:t>al “</w:t>
      </w:r>
      <w:proofErr w:type="spellStart"/>
      <w:r w:rsidR="00C70F69" w:rsidRPr="00C74A2C">
        <w:rPr>
          <w:rFonts w:ascii="Cambria" w:eastAsiaTheme="majorEastAsia" w:hAnsi="Cambria" w:cstheme="majorBidi"/>
          <w:sz w:val="24"/>
          <w:szCs w:val="24"/>
        </w:rPr>
        <w:t>BioBank</w:t>
      </w:r>
      <w:proofErr w:type="spellEnd"/>
      <w:r w:rsidR="00844725" w:rsidRPr="00C74A2C">
        <w:rPr>
          <w:rFonts w:ascii="Cambria" w:eastAsiaTheme="majorEastAsia" w:hAnsi="Cambria" w:cstheme="majorBidi"/>
          <w:sz w:val="24"/>
          <w:szCs w:val="24"/>
        </w:rPr>
        <w:t>”</w:t>
      </w:r>
      <w:r w:rsidR="00C70F69" w:rsidRPr="00C74A2C">
        <w:rPr>
          <w:rFonts w:ascii="Cambria" w:eastAsiaTheme="majorEastAsia" w:hAnsi="Cambria" w:cstheme="majorBidi"/>
          <w:sz w:val="24"/>
          <w:szCs w:val="24"/>
        </w:rPr>
        <w:t xml:space="preserve"> of genetic profiles, taken at birth.</w:t>
      </w:r>
      <w:r w:rsidR="00844725" w:rsidRPr="00C74A2C">
        <w:rPr>
          <w:rFonts w:ascii="Cambria" w:eastAsiaTheme="majorEastAsia" w:hAnsi="Cambria" w:cstheme="majorBidi"/>
          <w:sz w:val="24"/>
          <w:szCs w:val="24"/>
        </w:rPr>
        <w:t>’</w:t>
      </w:r>
      <w:r w:rsidR="00C70F69" w:rsidRPr="00C74A2C">
        <w:rPr>
          <w:rStyle w:val="FootnoteReference"/>
          <w:rFonts w:ascii="Cambria" w:eastAsiaTheme="majorEastAsia" w:hAnsi="Cambria" w:cstheme="majorBidi"/>
          <w:sz w:val="24"/>
          <w:szCs w:val="24"/>
        </w:rPr>
        <w:footnoteReference w:id="5"/>
      </w:r>
    </w:p>
    <w:p w14:paraId="43A75436" w14:textId="4A2EC8CC" w:rsidR="00555173" w:rsidRPr="00C74A2C" w:rsidRDefault="00777B55"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Forensic procedures, DNA profiling, and </w:t>
      </w:r>
      <w:r w:rsidR="00555173" w:rsidRPr="00C74A2C">
        <w:rPr>
          <w:rFonts w:ascii="Cambria" w:eastAsiaTheme="majorEastAsia" w:hAnsi="Cambria" w:cstheme="majorBidi"/>
          <w:sz w:val="24"/>
          <w:szCs w:val="24"/>
        </w:rPr>
        <w:t xml:space="preserve">DNA </w:t>
      </w:r>
      <w:proofErr w:type="spellStart"/>
      <w:r w:rsidR="00555173" w:rsidRPr="00C74A2C">
        <w:rPr>
          <w:rFonts w:ascii="Cambria" w:eastAsiaTheme="majorEastAsia" w:hAnsi="Cambria" w:cstheme="majorBidi"/>
          <w:sz w:val="24"/>
          <w:szCs w:val="24"/>
        </w:rPr>
        <w:t>databasing</w:t>
      </w:r>
      <w:proofErr w:type="spellEnd"/>
      <w:r w:rsidR="00555173"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all involve a complex skein of assumptions and ethical ideas</w:t>
      </w:r>
      <w:r w:rsidR="00555173" w:rsidRPr="00C74A2C">
        <w:rPr>
          <w:rFonts w:ascii="Cambria" w:eastAsiaTheme="majorEastAsia" w:hAnsi="Cambria" w:cstheme="majorBidi"/>
          <w:sz w:val="24"/>
          <w:szCs w:val="24"/>
        </w:rPr>
        <w:t>, with many competing viewpoints about the value of th</w:t>
      </w:r>
      <w:r w:rsidRPr="00C74A2C">
        <w:rPr>
          <w:rFonts w:ascii="Cambria" w:eastAsiaTheme="majorEastAsia" w:hAnsi="Cambria" w:cstheme="majorBidi"/>
          <w:sz w:val="24"/>
          <w:szCs w:val="24"/>
        </w:rPr>
        <w:t>ese</w:t>
      </w:r>
      <w:r w:rsidR="00555173" w:rsidRPr="00C74A2C">
        <w:rPr>
          <w:rFonts w:ascii="Cambria" w:eastAsiaTheme="majorEastAsia" w:hAnsi="Cambria" w:cstheme="majorBidi"/>
          <w:sz w:val="24"/>
          <w:szCs w:val="24"/>
        </w:rPr>
        <w:t xml:space="preserve"> practice</w:t>
      </w:r>
      <w:r w:rsidRPr="00C74A2C">
        <w:rPr>
          <w:rFonts w:ascii="Cambria" w:eastAsiaTheme="majorEastAsia" w:hAnsi="Cambria" w:cstheme="majorBidi"/>
          <w:sz w:val="24"/>
          <w:szCs w:val="24"/>
        </w:rPr>
        <w:t>s</w:t>
      </w:r>
      <w:r w:rsidR="00555173"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For instance, DNA </w:t>
      </w:r>
      <w:proofErr w:type="spellStart"/>
      <w:r w:rsidRPr="00C74A2C">
        <w:rPr>
          <w:rFonts w:ascii="Cambria" w:eastAsiaTheme="majorEastAsia" w:hAnsi="Cambria" w:cstheme="majorBidi"/>
          <w:sz w:val="24"/>
          <w:szCs w:val="24"/>
        </w:rPr>
        <w:t>databasing</w:t>
      </w:r>
      <w:proofErr w:type="spellEnd"/>
      <w:r w:rsidR="00555173" w:rsidRPr="00C74A2C">
        <w:rPr>
          <w:rFonts w:ascii="Cambria" w:eastAsiaTheme="majorEastAsia" w:hAnsi="Cambria" w:cstheme="majorBidi"/>
          <w:sz w:val="24"/>
          <w:szCs w:val="24"/>
        </w:rPr>
        <w:t xml:space="preserve"> has been lauded as a useful resource because </w:t>
      </w:r>
      <w:r w:rsidR="000F09C4" w:rsidRPr="00C74A2C">
        <w:rPr>
          <w:rFonts w:ascii="Cambria" w:eastAsiaTheme="majorEastAsia" w:hAnsi="Cambria" w:cstheme="majorBidi"/>
          <w:sz w:val="24"/>
          <w:szCs w:val="24"/>
        </w:rPr>
        <w:t xml:space="preserve">such </w:t>
      </w:r>
      <w:r w:rsidR="003018DA">
        <w:rPr>
          <w:rFonts w:ascii="Cambria" w:eastAsiaTheme="majorEastAsia" w:hAnsi="Cambria" w:cstheme="majorBidi"/>
          <w:sz w:val="24"/>
          <w:szCs w:val="24"/>
        </w:rPr>
        <w:t>databases provide ‘“</w:t>
      </w:r>
      <w:r w:rsidR="00555173" w:rsidRPr="00C74A2C">
        <w:rPr>
          <w:rFonts w:ascii="Cambria" w:eastAsiaTheme="majorEastAsia" w:hAnsi="Cambria" w:cstheme="majorBidi"/>
          <w:sz w:val="24"/>
          <w:szCs w:val="24"/>
        </w:rPr>
        <w:t>cold hits</w:t>
      </w:r>
      <w:r w:rsidR="00DC6364" w:rsidRPr="00C74A2C">
        <w:rPr>
          <w:rFonts w:ascii="Cambria" w:eastAsiaTheme="majorEastAsia" w:hAnsi="Cambria" w:cstheme="majorBidi"/>
          <w:sz w:val="24"/>
          <w:szCs w:val="24"/>
        </w:rPr>
        <w:t>”</w:t>
      </w:r>
      <w:r w:rsidR="006652CF" w:rsidRPr="00C74A2C">
        <w:rPr>
          <w:rFonts w:ascii="Cambria" w:eastAsiaTheme="majorEastAsia" w:hAnsi="Cambria" w:cstheme="majorBidi"/>
          <w:sz w:val="24"/>
          <w:szCs w:val="24"/>
        </w:rPr>
        <w:t xml:space="preserve"> </w:t>
      </w:r>
      <w:r w:rsidR="00DC6364" w:rsidRPr="00C74A2C">
        <w:rPr>
          <w:rFonts w:ascii="Cambria" w:eastAsiaTheme="majorEastAsia" w:hAnsi="Cambria" w:cstheme="majorBidi"/>
          <w:sz w:val="24"/>
          <w:szCs w:val="24"/>
        </w:rPr>
        <w:sym w:font="Symbol" w:char="F0BE"/>
      </w:r>
      <w:r w:rsidR="00DC6364" w:rsidRPr="00C74A2C">
        <w:rPr>
          <w:rFonts w:ascii="Cambria" w:eastAsiaTheme="majorEastAsia" w:hAnsi="Cambria" w:cstheme="majorBidi"/>
          <w:sz w:val="24"/>
          <w:szCs w:val="24"/>
        </w:rPr>
        <w:t xml:space="preserve"> </w:t>
      </w:r>
      <w:r w:rsidR="00555173" w:rsidRPr="00C74A2C">
        <w:rPr>
          <w:rFonts w:ascii="Cambria" w:eastAsiaTheme="majorEastAsia" w:hAnsi="Cambria" w:cstheme="majorBidi"/>
          <w:sz w:val="24"/>
          <w:szCs w:val="24"/>
        </w:rPr>
        <w:t>unexpected matching between a crime scene DNA profile already stored on the database</w:t>
      </w:r>
      <w:r w:rsidR="00DC6364" w:rsidRPr="00C74A2C">
        <w:rPr>
          <w:rFonts w:ascii="Cambria" w:eastAsiaTheme="majorEastAsia" w:hAnsi="Cambria" w:cstheme="majorBidi"/>
          <w:sz w:val="24"/>
          <w:szCs w:val="24"/>
        </w:rPr>
        <w:t xml:space="preserve"> </w:t>
      </w:r>
      <w:r w:rsidR="00DC6364" w:rsidRPr="00C74A2C">
        <w:rPr>
          <w:rFonts w:ascii="Cambria" w:eastAsiaTheme="majorEastAsia" w:hAnsi="Cambria" w:cstheme="majorBidi"/>
          <w:sz w:val="24"/>
          <w:szCs w:val="24"/>
        </w:rPr>
        <w:sym w:font="Symbol" w:char="F0BE"/>
      </w:r>
      <w:r w:rsidR="00555173" w:rsidRPr="00C74A2C">
        <w:rPr>
          <w:rFonts w:ascii="Cambria" w:eastAsiaTheme="majorEastAsia" w:hAnsi="Cambria" w:cstheme="majorBidi"/>
          <w:sz w:val="24"/>
          <w:szCs w:val="24"/>
        </w:rPr>
        <w:t xml:space="preserve"> to introduce a new suspect into the investigation.</w:t>
      </w:r>
      <w:r w:rsidR="00DC6364" w:rsidRPr="00C74A2C">
        <w:rPr>
          <w:rFonts w:ascii="Cambria" w:eastAsiaTheme="majorEastAsia" w:hAnsi="Cambria" w:cstheme="majorBidi"/>
          <w:sz w:val="24"/>
          <w:szCs w:val="24"/>
        </w:rPr>
        <w:t>’</w:t>
      </w:r>
      <w:r w:rsidR="00555173" w:rsidRPr="00C74A2C">
        <w:rPr>
          <w:rFonts w:ascii="Cambria" w:eastAsiaTheme="majorEastAsia" w:hAnsi="Cambria" w:cstheme="majorBidi"/>
          <w:sz w:val="24"/>
          <w:szCs w:val="24"/>
          <w:vertAlign w:val="superscript"/>
        </w:rPr>
        <w:footnoteReference w:id="6"/>
      </w:r>
      <w:r w:rsidR="00555173" w:rsidRPr="00C74A2C">
        <w:rPr>
          <w:rFonts w:ascii="Cambria" w:eastAsiaTheme="majorEastAsia" w:hAnsi="Cambria" w:cstheme="majorBidi"/>
          <w:sz w:val="24"/>
          <w:szCs w:val="24"/>
        </w:rPr>
        <w:t xml:space="preserve"> Further, </w:t>
      </w:r>
      <w:r w:rsidRPr="00C74A2C">
        <w:rPr>
          <w:rFonts w:ascii="Cambria" w:eastAsiaTheme="majorEastAsia" w:hAnsi="Cambria" w:cstheme="majorBidi"/>
          <w:sz w:val="24"/>
          <w:szCs w:val="24"/>
        </w:rPr>
        <w:t xml:space="preserve">forensic procedures, </w:t>
      </w:r>
      <w:r w:rsidR="00555173" w:rsidRPr="00C74A2C">
        <w:rPr>
          <w:rFonts w:ascii="Cambria" w:eastAsiaTheme="majorEastAsia" w:hAnsi="Cambria" w:cstheme="majorBidi"/>
          <w:sz w:val="24"/>
          <w:szCs w:val="24"/>
        </w:rPr>
        <w:t xml:space="preserve">DNA </w:t>
      </w:r>
      <w:r w:rsidRPr="00C74A2C">
        <w:rPr>
          <w:rFonts w:ascii="Cambria" w:eastAsiaTheme="majorEastAsia" w:hAnsi="Cambria" w:cstheme="majorBidi"/>
          <w:sz w:val="24"/>
          <w:szCs w:val="24"/>
        </w:rPr>
        <w:t xml:space="preserve">profiling, and DNA </w:t>
      </w:r>
      <w:r w:rsidR="00555173" w:rsidRPr="00C74A2C">
        <w:rPr>
          <w:rFonts w:ascii="Cambria" w:eastAsiaTheme="majorEastAsia" w:hAnsi="Cambria" w:cstheme="majorBidi"/>
          <w:sz w:val="24"/>
          <w:szCs w:val="24"/>
        </w:rPr>
        <w:t>databas</w:t>
      </w:r>
      <w:r w:rsidRPr="00C74A2C">
        <w:rPr>
          <w:rFonts w:ascii="Cambria" w:eastAsiaTheme="majorEastAsia" w:hAnsi="Cambria" w:cstheme="majorBidi"/>
          <w:sz w:val="24"/>
          <w:szCs w:val="24"/>
        </w:rPr>
        <w:t>e searches</w:t>
      </w:r>
      <w:r w:rsidR="00555173" w:rsidRPr="00C74A2C">
        <w:rPr>
          <w:rFonts w:ascii="Cambria" w:eastAsiaTheme="majorEastAsia" w:hAnsi="Cambria" w:cstheme="majorBidi"/>
          <w:sz w:val="24"/>
          <w:szCs w:val="24"/>
        </w:rPr>
        <w:t xml:space="preserve"> have assisted with the exoneration of those falsely convicted and imprisoned, such as young people of colour convicted of crimes they did not commit in the United States.</w:t>
      </w:r>
      <w:r w:rsidR="00555173" w:rsidRPr="00C74A2C">
        <w:rPr>
          <w:rFonts w:ascii="Cambria" w:eastAsiaTheme="majorEastAsia" w:hAnsi="Cambria" w:cstheme="majorBidi"/>
          <w:sz w:val="24"/>
          <w:szCs w:val="24"/>
          <w:vertAlign w:val="superscript"/>
        </w:rPr>
        <w:footnoteReference w:id="7"/>
      </w:r>
      <w:r w:rsidR="00555173" w:rsidRPr="00C74A2C">
        <w:rPr>
          <w:rFonts w:ascii="Cambria" w:eastAsiaTheme="majorEastAsia" w:hAnsi="Cambria" w:cstheme="majorBidi"/>
          <w:sz w:val="24"/>
          <w:szCs w:val="24"/>
        </w:rPr>
        <w:t xml:space="preserve"> There is no doubt these outcomes are benefitting the community to control crime, prosecute offenders, and to ensure innocent people are exonerated. In contrast to these perspectives, others have argued that </w:t>
      </w:r>
      <w:r w:rsidRPr="00C74A2C">
        <w:rPr>
          <w:rFonts w:ascii="Cambria" w:eastAsiaTheme="majorEastAsia" w:hAnsi="Cambria" w:cstheme="majorBidi"/>
          <w:sz w:val="24"/>
          <w:szCs w:val="24"/>
        </w:rPr>
        <w:t xml:space="preserve">forensic procedures, DNA profiling, and </w:t>
      </w:r>
      <w:r w:rsidR="00555173" w:rsidRPr="00C74A2C">
        <w:rPr>
          <w:rFonts w:ascii="Cambria" w:eastAsiaTheme="majorEastAsia" w:hAnsi="Cambria" w:cstheme="majorBidi"/>
          <w:sz w:val="24"/>
          <w:szCs w:val="24"/>
        </w:rPr>
        <w:t xml:space="preserve">DNA databases </w:t>
      </w:r>
      <w:r w:rsidRPr="00C74A2C">
        <w:rPr>
          <w:rFonts w:ascii="Cambria" w:eastAsiaTheme="majorEastAsia" w:hAnsi="Cambria" w:cstheme="majorBidi"/>
          <w:sz w:val="24"/>
          <w:szCs w:val="24"/>
        </w:rPr>
        <w:t xml:space="preserve">all </w:t>
      </w:r>
      <w:r w:rsidR="00555173" w:rsidRPr="00C74A2C">
        <w:rPr>
          <w:rFonts w:ascii="Cambria" w:eastAsiaTheme="majorEastAsia" w:hAnsi="Cambria" w:cstheme="majorBidi"/>
          <w:sz w:val="24"/>
          <w:szCs w:val="24"/>
        </w:rPr>
        <w:t xml:space="preserve">impinge on the human rights of offenders and can be used in unethical ways by policing services. Chief amongst the concerns about breaching individual human rights through DNA </w:t>
      </w:r>
      <w:proofErr w:type="spellStart"/>
      <w:r w:rsidR="00843180" w:rsidRPr="00C74A2C">
        <w:rPr>
          <w:rFonts w:ascii="Cambria" w:eastAsiaTheme="majorEastAsia" w:hAnsi="Cambria" w:cstheme="majorBidi"/>
          <w:sz w:val="24"/>
          <w:szCs w:val="24"/>
        </w:rPr>
        <w:t>databasing</w:t>
      </w:r>
      <w:proofErr w:type="spellEnd"/>
      <w:r w:rsidR="00843180" w:rsidRPr="00C74A2C">
        <w:rPr>
          <w:rFonts w:ascii="Cambria" w:eastAsiaTheme="majorEastAsia" w:hAnsi="Cambria" w:cstheme="majorBidi"/>
          <w:sz w:val="24"/>
          <w:szCs w:val="24"/>
        </w:rPr>
        <w:t xml:space="preserve"> </w:t>
      </w:r>
      <w:r w:rsidR="00555173" w:rsidRPr="00C74A2C">
        <w:rPr>
          <w:rFonts w:ascii="Cambria" w:eastAsiaTheme="majorEastAsia" w:hAnsi="Cambria" w:cstheme="majorBidi"/>
          <w:sz w:val="24"/>
          <w:szCs w:val="24"/>
        </w:rPr>
        <w:t>is privacy which has its genesis in the law</w:t>
      </w:r>
      <w:r w:rsidR="00D478CB" w:rsidRPr="00C74A2C">
        <w:rPr>
          <w:rFonts w:ascii="Cambria" w:eastAsiaTheme="majorEastAsia" w:hAnsi="Cambria" w:cstheme="majorBidi"/>
          <w:sz w:val="24"/>
          <w:szCs w:val="24"/>
        </w:rPr>
        <w:t xml:space="preserve">, with commentators arguing that retention of DNA profiles is an </w:t>
      </w:r>
      <w:r w:rsidR="00D52F3E" w:rsidRPr="00C74A2C">
        <w:rPr>
          <w:rFonts w:ascii="Cambria" w:eastAsiaTheme="majorEastAsia" w:hAnsi="Cambria" w:cstheme="majorBidi"/>
          <w:sz w:val="24"/>
          <w:szCs w:val="24"/>
        </w:rPr>
        <w:t>‘</w:t>
      </w:r>
      <w:r w:rsidR="00D478CB" w:rsidRPr="00C74A2C">
        <w:rPr>
          <w:rFonts w:ascii="Cambria" w:eastAsiaTheme="majorEastAsia" w:hAnsi="Cambria" w:cstheme="majorBidi"/>
          <w:sz w:val="24"/>
          <w:szCs w:val="24"/>
        </w:rPr>
        <w:t xml:space="preserve">unjustifiable infringement on an individual’s </w:t>
      </w:r>
      <w:r w:rsidR="00D52F3E" w:rsidRPr="00C74A2C">
        <w:rPr>
          <w:rFonts w:ascii="Cambria" w:eastAsiaTheme="majorEastAsia" w:hAnsi="Cambria" w:cstheme="majorBidi"/>
          <w:sz w:val="24"/>
          <w:szCs w:val="24"/>
        </w:rPr>
        <w:t>privacy</w:t>
      </w:r>
      <w:r w:rsidR="00555173" w:rsidRPr="00C74A2C">
        <w:rPr>
          <w:rFonts w:ascii="Cambria" w:eastAsiaTheme="majorEastAsia" w:hAnsi="Cambria" w:cstheme="majorBidi"/>
          <w:sz w:val="24"/>
          <w:szCs w:val="24"/>
        </w:rPr>
        <w:t>.</w:t>
      </w:r>
      <w:r w:rsidR="00D52F3E" w:rsidRPr="00C74A2C">
        <w:rPr>
          <w:rFonts w:ascii="Cambria" w:eastAsiaTheme="majorEastAsia" w:hAnsi="Cambria" w:cstheme="majorBidi"/>
          <w:sz w:val="24"/>
          <w:szCs w:val="24"/>
        </w:rPr>
        <w:t>’</w:t>
      </w:r>
      <w:r w:rsidR="00D478CB" w:rsidRPr="00C74A2C">
        <w:rPr>
          <w:rStyle w:val="FootnoteReference"/>
          <w:rFonts w:ascii="Cambria" w:eastAsiaTheme="majorEastAsia" w:hAnsi="Cambria" w:cstheme="majorBidi"/>
          <w:sz w:val="24"/>
          <w:szCs w:val="24"/>
        </w:rPr>
        <w:footnoteReference w:id="8"/>
      </w:r>
    </w:p>
    <w:p w14:paraId="5F274F38" w14:textId="65A64D43" w:rsidR="00555173" w:rsidRPr="00C74A2C" w:rsidRDefault="00555173" w:rsidP="00555173">
      <w:pPr>
        <w:spacing w:line="360" w:lineRule="auto"/>
        <w:jc w:val="both"/>
        <w:rPr>
          <w:rFonts w:ascii="Cambria" w:hAnsi="Cambria"/>
          <w:sz w:val="24"/>
          <w:szCs w:val="24"/>
        </w:rPr>
      </w:pPr>
      <w:r w:rsidRPr="00C74A2C">
        <w:rPr>
          <w:rFonts w:ascii="Cambria" w:eastAsiaTheme="majorEastAsia" w:hAnsi="Cambria" w:cstheme="majorBidi"/>
          <w:sz w:val="24"/>
          <w:szCs w:val="24"/>
        </w:rPr>
        <w:t xml:space="preserve">While all these issues impact on a range of </w:t>
      </w:r>
      <w:r w:rsidR="00A26048" w:rsidRPr="00C74A2C">
        <w:rPr>
          <w:rFonts w:ascii="Cambria" w:eastAsiaTheme="majorEastAsia" w:hAnsi="Cambria" w:cstheme="majorBidi"/>
          <w:sz w:val="24"/>
          <w:szCs w:val="24"/>
        </w:rPr>
        <w:t>people of all different ages,</w:t>
      </w:r>
      <w:r w:rsidRPr="00C74A2C">
        <w:rPr>
          <w:rFonts w:ascii="Cambria" w:eastAsiaTheme="majorEastAsia" w:hAnsi="Cambria" w:cstheme="majorBidi"/>
          <w:sz w:val="24"/>
          <w:szCs w:val="24"/>
        </w:rPr>
        <w:t xml:space="preserve"> backgrounds</w:t>
      </w:r>
      <w:r w:rsidR="00A26048"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 xml:space="preserve"> and capacities </w:t>
      </w:r>
      <w:r w:rsidR="00D52F3E" w:rsidRPr="00C74A2C">
        <w:rPr>
          <w:rFonts w:ascii="Cambria" w:eastAsiaTheme="majorEastAsia" w:hAnsi="Cambria" w:cstheme="majorBidi"/>
          <w:sz w:val="24"/>
          <w:szCs w:val="24"/>
        </w:rPr>
        <w:t>that</w:t>
      </w:r>
      <w:r w:rsidRPr="00C74A2C">
        <w:rPr>
          <w:rFonts w:ascii="Cambria" w:eastAsiaTheme="majorEastAsia" w:hAnsi="Cambria" w:cstheme="majorBidi"/>
          <w:sz w:val="24"/>
          <w:szCs w:val="24"/>
        </w:rPr>
        <w:t xml:space="preserve"> have been charged and convicted with crimes, our focus in this paper is </w:t>
      </w:r>
      <w:r w:rsidRPr="003018DA">
        <w:rPr>
          <w:rFonts w:ascii="Cambria" w:eastAsiaTheme="majorEastAsia" w:hAnsi="Cambria" w:cstheme="majorBidi"/>
          <w:sz w:val="24"/>
          <w:szCs w:val="24"/>
        </w:rPr>
        <w:t>young people</w:t>
      </w:r>
      <w:r w:rsidR="00375567" w:rsidRPr="003018DA">
        <w:rPr>
          <w:rFonts w:ascii="Cambria" w:eastAsiaTheme="majorEastAsia" w:hAnsi="Cambria" w:cstheme="majorBidi"/>
          <w:sz w:val="24"/>
          <w:szCs w:val="24"/>
        </w:rPr>
        <w:t xml:space="preserve"> under the age of 18</w:t>
      </w:r>
      <w:r w:rsidRPr="003018DA">
        <w:rPr>
          <w:rFonts w:ascii="Cambria" w:eastAsiaTheme="majorEastAsia" w:hAnsi="Cambria" w:cstheme="majorBidi"/>
          <w:sz w:val="24"/>
          <w:szCs w:val="24"/>
        </w:rPr>
        <w:t>. For the most part, depending on their circumstances,</w:t>
      </w:r>
      <w:r w:rsidRPr="00C74A2C">
        <w:rPr>
          <w:rFonts w:ascii="Cambria" w:eastAsiaTheme="majorEastAsia" w:hAnsi="Cambria" w:cstheme="majorBidi"/>
          <w:sz w:val="24"/>
          <w:szCs w:val="24"/>
        </w:rPr>
        <w:t xml:space="preserve"> a lot of adults will have more capacity than young people to understand </w:t>
      </w:r>
      <w:r w:rsidR="0021179C" w:rsidRPr="00C74A2C">
        <w:rPr>
          <w:rFonts w:ascii="Cambria" w:eastAsiaTheme="majorEastAsia" w:hAnsi="Cambria" w:cstheme="majorBidi"/>
          <w:sz w:val="24"/>
          <w:szCs w:val="24"/>
        </w:rPr>
        <w:t>the processes involved in fully consenting to a forensic procedure, and subsequent DNA profiling and</w:t>
      </w:r>
      <w:r w:rsidRPr="00C74A2C">
        <w:rPr>
          <w:rFonts w:ascii="Cambria" w:eastAsiaTheme="majorEastAsia" w:hAnsi="Cambria" w:cstheme="majorBidi"/>
          <w:sz w:val="24"/>
          <w:szCs w:val="24"/>
        </w:rPr>
        <w:t xml:space="preserve"> </w:t>
      </w:r>
      <w:proofErr w:type="spellStart"/>
      <w:r w:rsidR="0021179C" w:rsidRPr="00C74A2C">
        <w:rPr>
          <w:rFonts w:ascii="Cambria" w:eastAsiaTheme="majorEastAsia" w:hAnsi="Cambria" w:cstheme="majorBidi"/>
          <w:sz w:val="24"/>
          <w:szCs w:val="24"/>
        </w:rPr>
        <w:t>databasing</w:t>
      </w:r>
      <w:proofErr w:type="spellEnd"/>
      <w:r w:rsidR="0021179C"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processes, in terms of fully comprehending how the material will be used </w:t>
      </w:r>
      <w:r w:rsidRPr="00C74A2C">
        <w:rPr>
          <w:rFonts w:ascii="Cambria" w:eastAsiaTheme="majorEastAsia" w:hAnsi="Cambria" w:cstheme="majorBidi"/>
          <w:sz w:val="24"/>
          <w:szCs w:val="24"/>
        </w:rPr>
        <w:lastRenderedPageBreak/>
        <w:t>and the implications of this</w:t>
      </w:r>
      <w:bookmarkStart w:id="2" w:name="page3"/>
      <w:bookmarkEnd w:id="2"/>
      <w:r w:rsidRPr="00C74A2C">
        <w:rPr>
          <w:rFonts w:ascii="Cambria" w:eastAsiaTheme="majorEastAsia" w:hAnsi="Cambria" w:cstheme="majorBidi"/>
          <w:sz w:val="24"/>
          <w:szCs w:val="24"/>
        </w:rPr>
        <w:t xml:space="preserve"> process</w:t>
      </w:r>
      <w:r w:rsidR="0021179C"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This is not always possible for young people as a category of vulnerable person,</w:t>
      </w:r>
      <w:r w:rsidRPr="00C74A2C">
        <w:rPr>
          <w:rFonts w:ascii="Cambria" w:eastAsiaTheme="majorEastAsia" w:hAnsi="Cambria" w:cstheme="majorBidi"/>
          <w:sz w:val="24"/>
          <w:szCs w:val="24"/>
          <w:vertAlign w:val="superscript"/>
        </w:rPr>
        <w:footnoteReference w:id="9"/>
      </w:r>
      <w:r w:rsidRPr="00C74A2C">
        <w:rPr>
          <w:rFonts w:ascii="Cambria" w:eastAsiaTheme="majorEastAsia" w:hAnsi="Cambria" w:cstheme="majorBidi"/>
          <w:sz w:val="24"/>
          <w:szCs w:val="24"/>
        </w:rPr>
        <w:t xml:space="preserve"> particularly those young people considered marginalised or whom are experiencing significant </w:t>
      </w:r>
      <w:r w:rsidR="0021179C" w:rsidRPr="00C74A2C">
        <w:rPr>
          <w:rFonts w:ascii="Cambria" w:eastAsiaTheme="majorEastAsia" w:hAnsi="Cambria" w:cstheme="majorBidi"/>
          <w:sz w:val="24"/>
          <w:szCs w:val="24"/>
        </w:rPr>
        <w:t xml:space="preserve">and often multifarious </w:t>
      </w:r>
      <w:r w:rsidRPr="00C74A2C">
        <w:rPr>
          <w:rFonts w:ascii="Cambria" w:eastAsiaTheme="majorEastAsia" w:hAnsi="Cambria" w:cstheme="majorBidi"/>
          <w:sz w:val="24"/>
          <w:szCs w:val="24"/>
        </w:rPr>
        <w:t>disadvantage</w:t>
      </w:r>
      <w:r w:rsidR="0021179C" w:rsidRPr="00C74A2C">
        <w:rPr>
          <w:rFonts w:ascii="Cambria" w:eastAsiaTheme="majorEastAsia" w:hAnsi="Cambria" w:cstheme="majorBidi"/>
          <w:sz w:val="24"/>
          <w:szCs w:val="24"/>
        </w:rPr>
        <w:t xml:space="preserve">s. Forensic procedures alone raise important questions about the extent to which a young person may be fully capable of consenting to these processes. </w:t>
      </w:r>
      <w:r w:rsidRPr="00C74A2C">
        <w:rPr>
          <w:rFonts w:ascii="Cambria" w:eastAsiaTheme="majorEastAsia" w:hAnsi="Cambria" w:cstheme="majorBidi"/>
          <w:sz w:val="24"/>
          <w:szCs w:val="24"/>
        </w:rPr>
        <w:t xml:space="preserve">For instance, specific to young people, </w:t>
      </w:r>
      <w:r w:rsidR="00375567" w:rsidRPr="00C74A2C">
        <w:rPr>
          <w:rFonts w:ascii="Cambria" w:eastAsiaTheme="majorEastAsia" w:hAnsi="Cambria" w:cstheme="majorBidi"/>
          <w:sz w:val="24"/>
          <w:szCs w:val="24"/>
        </w:rPr>
        <w:t>“</w:t>
      </w:r>
      <w:r w:rsidR="003A42BE" w:rsidRPr="00C74A2C">
        <w:rPr>
          <w:rFonts w:ascii="Cambria" w:eastAsiaTheme="majorEastAsia" w:hAnsi="Cambria" w:cstheme="majorBidi"/>
          <w:sz w:val="24"/>
          <w:szCs w:val="24"/>
        </w:rPr>
        <w:t>trawling</w:t>
      </w:r>
      <w:r w:rsidR="00375567" w:rsidRPr="00C74A2C">
        <w:rPr>
          <w:rFonts w:ascii="Cambria" w:eastAsiaTheme="majorEastAsia" w:hAnsi="Cambria" w:cstheme="majorBidi"/>
          <w:sz w:val="24"/>
          <w:szCs w:val="24"/>
        </w:rPr>
        <w:t>”</w:t>
      </w:r>
      <w:r w:rsidR="003A42BE" w:rsidRPr="00C74A2C">
        <w:rPr>
          <w:rFonts w:ascii="Cambria" w:eastAsiaTheme="majorEastAsia" w:hAnsi="Cambria" w:cstheme="majorBidi"/>
          <w:sz w:val="24"/>
          <w:szCs w:val="24"/>
        </w:rPr>
        <w:t xml:space="preserve"> processes employed by police organisations using DNA databases raise significant concerns about</w:t>
      </w:r>
      <w:r w:rsidRPr="00C74A2C">
        <w:rPr>
          <w:rFonts w:ascii="Cambria" w:eastAsiaTheme="majorEastAsia" w:hAnsi="Cambria" w:cstheme="majorBidi"/>
          <w:sz w:val="24"/>
          <w:szCs w:val="24"/>
        </w:rPr>
        <w:t xml:space="preserve"> </w:t>
      </w:r>
      <w:r w:rsidR="00375567"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net-widening</w:t>
      </w:r>
      <w:r w:rsidR="00375567"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 xml:space="preserve">, with some commentators arguing the mere existence of an individual DNA profile on a database ‘is to treat them as a suspect for </w:t>
      </w:r>
      <w:r w:rsidR="00375567" w:rsidRPr="00C74A2C">
        <w:rPr>
          <w:rFonts w:ascii="Cambria" w:eastAsiaTheme="majorEastAsia" w:hAnsi="Cambria" w:cstheme="majorBidi"/>
          <w:sz w:val="24"/>
          <w:szCs w:val="24"/>
        </w:rPr>
        <w:t xml:space="preserve">any </w:t>
      </w:r>
      <w:r w:rsidRPr="00C74A2C">
        <w:rPr>
          <w:rFonts w:ascii="Cambria" w:eastAsiaTheme="majorEastAsia" w:hAnsi="Cambria" w:cstheme="majorBidi"/>
          <w:sz w:val="24"/>
          <w:szCs w:val="24"/>
        </w:rPr>
        <w:t>future crime.</w:t>
      </w:r>
      <w:r w:rsidR="00375567"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10"/>
      </w:r>
      <w:r w:rsidRPr="00C74A2C">
        <w:rPr>
          <w:rFonts w:ascii="Cambria" w:eastAsiaTheme="majorEastAsia" w:hAnsi="Cambria" w:cstheme="majorBidi"/>
          <w:sz w:val="24"/>
          <w:szCs w:val="24"/>
        </w:rPr>
        <w:t xml:space="preserve"> Other concerns raised include the potential to harass, stigmati</w:t>
      </w:r>
      <w:r w:rsidR="00375567"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e, socially exclude, and discriminate against young offenders.</w:t>
      </w:r>
      <w:r w:rsidRPr="00C74A2C">
        <w:rPr>
          <w:rFonts w:ascii="Cambria" w:eastAsiaTheme="majorEastAsia" w:hAnsi="Cambria" w:cstheme="majorBidi"/>
          <w:sz w:val="24"/>
          <w:szCs w:val="24"/>
          <w:vertAlign w:val="superscript"/>
        </w:rPr>
        <w:footnoteReference w:id="11"/>
      </w:r>
      <w:r w:rsidRPr="00C74A2C">
        <w:rPr>
          <w:rFonts w:ascii="Cambria" w:eastAsiaTheme="majorEastAsia" w:hAnsi="Cambria" w:cstheme="majorBidi"/>
          <w:sz w:val="24"/>
          <w:szCs w:val="24"/>
        </w:rPr>
        <w:t xml:space="preserve"> Some have even argued storing DNA samples is ethically contentious</w:t>
      </w:r>
      <w:r w:rsidR="00EF1FD6"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because the samples are being used for genetic research,</w:t>
      </w:r>
      <w:r w:rsidR="00375567" w:rsidRPr="00C74A2C">
        <w:rPr>
          <w:rFonts w:ascii="Cambria" w:eastAsiaTheme="majorEastAsia" w:hAnsi="Cambria" w:cstheme="majorBidi"/>
          <w:sz w:val="24"/>
          <w:szCs w:val="24"/>
          <w:vertAlign w:val="superscript"/>
        </w:rPr>
        <w:footnoteReference w:id="12"/>
      </w:r>
      <w:r w:rsidR="00375567"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including the possible identification of a ‘criminal gene’</w:t>
      </w:r>
      <w:r w:rsidR="00F052CB"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13"/>
      </w:r>
      <w:r w:rsidRPr="00C74A2C">
        <w:rPr>
          <w:rFonts w:ascii="Cambria" w:eastAsiaTheme="majorEastAsia" w:hAnsi="Cambria" w:cstheme="majorBidi"/>
          <w:sz w:val="24"/>
          <w:szCs w:val="24"/>
        </w:rPr>
        <w:t xml:space="preserve"> All these concerns have the capacity to impact on the lives of young offenders long-term.</w:t>
      </w:r>
    </w:p>
    <w:p w14:paraId="3E583F1B" w14:textId="6E0E2DF2" w:rsidR="00D65A5F" w:rsidRPr="00C74A2C" w:rsidRDefault="00555173" w:rsidP="00A9132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This paper </w:t>
      </w:r>
      <w:r w:rsidR="002D25AA" w:rsidRPr="00C74A2C">
        <w:rPr>
          <w:rFonts w:ascii="Cambria" w:eastAsiaTheme="majorEastAsia" w:hAnsi="Cambria" w:cstheme="majorBidi"/>
          <w:sz w:val="24"/>
          <w:szCs w:val="24"/>
        </w:rPr>
        <w:t xml:space="preserve">examines the human rights issues raised for young people around </w:t>
      </w:r>
      <w:r w:rsidR="00F052CB" w:rsidRPr="00C74A2C">
        <w:rPr>
          <w:rFonts w:ascii="Cambria" w:eastAsiaTheme="majorEastAsia" w:hAnsi="Cambria" w:cstheme="majorBidi"/>
          <w:sz w:val="24"/>
          <w:szCs w:val="24"/>
        </w:rPr>
        <w:t>forensic procedures</w:t>
      </w:r>
      <w:r w:rsidR="002D25AA" w:rsidRPr="00C74A2C">
        <w:rPr>
          <w:rFonts w:ascii="Cambria" w:eastAsiaTheme="majorEastAsia" w:hAnsi="Cambria" w:cstheme="majorBidi"/>
          <w:sz w:val="24"/>
          <w:szCs w:val="24"/>
        </w:rPr>
        <w:t xml:space="preserve"> and </w:t>
      </w:r>
      <w:r w:rsidRPr="00C74A2C">
        <w:rPr>
          <w:rFonts w:ascii="Cambria" w:eastAsiaTheme="majorEastAsia" w:hAnsi="Cambria" w:cstheme="majorBidi"/>
          <w:sz w:val="24"/>
          <w:szCs w:val="24"/>
        </w:rPr>
        <w:t>DNA retention</w:t>
      </w:r>
      <w:r w:rsidR="00F052CB" w:rsidRPr="00C74A2C">
        <w:rPr>
          <w:rFonts w:ascii="Cambria" w:eastAsiaTheme="majorEastAsia" w:hAnsi="Cambria" w:cstheme="majorBidi"/>
          <w:sz w:val="24"/>
          <w:szCs w:val="24"/>
        </w:rPr>
        <w:t xml:space="preserve"> and </w:t>
      </w:r>
      <w:proofErr w:type="spellStart"/>
      <w:r w:rsidR="00F052CB" w:rsidRPr="00C74A2C">
        <w:rPr>
          <w:rFonts w:ascii="Cambria" w:eastAsiaTheme="majorEastAsia" w:hAnsi="Cambria" w:cstheme="majorBidi"/>
          <w:sz w:val="24"/>
          <w:szCs w:val="24"/>
        </w:rPr>
        <w:t>databasing</w:t>
      </w:r>
      <w:proofErr w:type="spellEnd"/>
      <w:r w:rsidRPr="00C74A2C">
        <w:rPr>
          <w:rFonts w:ascii="Cambria" w:eastAsiaTheme="majorEastAsia" w:hAnsi="Cambria" w:cstheme="majorBidi"/>
          <w:sz w:val="24"/>
          <w:szCs w:val="24"/>
        </w:rPr>
        <w:t xml:space="preserve">. </w:t>
      </w:r>
      <w:r w:rsidR="006220C8" w:rsidRPr="00C74A2C">
        <w:rPr>
          <w:rFonts w:ascii="Cambria" w:eastAsiaTheme="majorEastAsia" w:hAnsi="Cambria" w:cstheme="majorBidi"/>
          <w:sz w:val="24"/>
          <w:szCs w:val="24"/>
        </w:rPr>
        <w:t>For the purpose of this paper, human rights are defined as those ‘[r]</w:t>
      </w:r>
      <w:proofErr w:type="spellStart"/>
      <w:r w:rsidR="006220C8" w:rsidRPr="00C74A2C">
        <w:rPr>
          <w:rFonts w:ascii="Cambria" w:eastAsiaTheme="majorEastAsia" w:hAnsi="Cambria" w:cstheme="majorBidi"/>
          <w:sz w:val="24"/>
          <w:szCs w:val="24"/>
        </w:rPr>
        <w:t>ights</w:t>
      </w:r>
      <w:proofErr w:type="spellEnd"/>
      <w:r w:rsidR="006220C8" w:rsidRPr="00C74A2C">
        <w:rPr>
          <w:rFonts w:ascii="Cambria" w:eastAsiaTheme="majorEastAsia" w:hAnsi="Cambria" w:cstheme="majorBidi"/>
          <w:sz w:val="24"/>
          <w:szCs w:val="24"/>
        </w:rPr>
        <w:t xml:space="preserve"> inherent in every individual on the basis of humanity’ and are underpinned by the recognition of the universal eligibility to be treated with both dignity and equality.</w:t>
      </w:r>
      <w:r w:rsidR="006220C8" w:rsidRPr="00C74A2C">
        <w:rPr>
          <w:rFonts w:ascii="Cambria" w:eastAsiaTheme="majorEastAsia" w:hAnsi="Cambria" w:cstheme="majorBidi"/>
          <w:sz w:val="24"/>
          <w:szCs w:val="24"/>
          <w:vertAlign w:val="superscript"/>
        </w:rPr>
        <w:footnoteReference w:id="14"/>
      </w:r>
      <w:r w:rsidR="006220C8" w:rsidRPr="00C74A2C">
        <w:rPr>
          <w:rFonts w:ascii="Cambria" w:eastAsiaTheme="majorEastAsia" w:hAnsi="Cambria" w:cstheme="majorBidi"/>
          <w:sz w:val="24"/>
          <w:szCs w:val="24"/>
        </w:rPr>
        <w:t xml:space="preserve"> </w:t>
      </w:r>
      <w:r w:rsidR="00FA12AD" w:rsidRPr="00C74A2C">
        <w:rPr>
          <w:rFonts w:ascii="Cambria" w:eastAsiaTheme="majorEastAsia" w:hAnsi="Cambria" w:cstheme="majorBidi"/>
          <w:sz w:val="24"/>
          <w:szCs w:val="24"/>
        </w:rPr>
        <w:t xml:space="preserve">To further explore these issues, this article briefly analyses aspects of the </w:t>
      </w:r>
      <w:r w:rsidR="00FA12AD" w:rsidRPr="00C74A2C">
        <w:rPr>
          <w:rFonts w:ascii="Cambria" w:eastAsiaTheme="majorEastAsia" w:hAnsi="Cambria" w:cstheme="majorBidi"/>
          <w:i/>
          <w:iCs/>
          <w:sz w:val="24"/>
          <w:szCs w:val="24"/>
        </w:rPr>
        <w:t>Police Powers and</w:t>
      </w:r>
      <w:r w:rsidR="00FA12AD" w:rsidRPr="00C74A2C">
        <w:rPr>
          <w:rFonts w:ascii="Cambria" w:eastAsiaTheme="majorEastAsia" w:hAnsi="Cambria" w:cstheme="majorBidi"/>
          <w:sz w:val="24"/>
          <w:szCs w:val="24"/>
        </w:rPr>
        <w:t xml:space="preserve"> </w:t>
      </w:r>
      <w:r w:rsidR="00FA12AD" w:rsidRPr="00C74A2C">
        <w:rPr>
          <w:rFonts w:ascii="Cambria" w:eastAsiaTheme="majorEastAsia" w:hAnsi="Cambria" w:cstheme="majorBidi"/>
          <w:i/>
          <w:iCs/>
          <w:sz w:val="24"/>
          <w:szCs w:val="24"/>
        </w:rPr>
        <w:t xml:space="preserve">Responsibilities Act </w:t>
      </w:r>
      <w:r w:rsidR="00FA12AD" w:rsidRPr="00C74A2C">
        <w:rPr>
          <w:rFonts w:ascii="Cambria" w:eastAsiaTheme="majorEastAsia" w:hAnsi="Cambria" w:cstheme="majorBidi"/>
          <w:sz w:val="24"/>
          <w:szCs w:val="24"/>
        </w:rPr>
        <w:t>2000 (Qld)</w:t>
      </w:r>
      <w:r w:rsidR="00FA12AD" w:rsidRPr="00C74A2C">
        <w:rPr>
          <w:rFonts w:ascii="Cambria" w:eastAsiaTheme="majorEastAsia" w:hAnsi="Cambria" w:cstheme="majorBidi"/>
          <w:i/>
          <w:iCs/>
          <w:sz w:val="24"/>
          <w:szCs w:val="24"/>
        </w:rPr>
        <w:t xml:space="preserve"> </w:t>
      </w:r>
      <w:r w:rsidR="00FA12AD" w:rsidRPr="00C74A2C">
        <w:rPr>
          <w:rFonts w:ascii="Cambria" w:eastAsiaTheme="majorEastAsia" w:hAnsi="Cambria" w:cstheme="majorBidi"/>
          <w:iCs/>
          <w:sz w:val="24"/>
          <w:szCs w:val="24"/>
        </w:rPr>
        <w:t>(</w:t>
      </w:r>
      <w:r w:rsidR="00B97811">
        <w:rPr>
          <w:rFonts w:ascii="Cambria" w:eastAsiaTheme="majorEastAsia" w:hAnsi="Cambria" w:cstheme="majorBidi"/>
          <w:iCs/>
          <w:sz w:val="24"/>
          <w:szCs w:val="24"/>
        </w:rPr>
        <w:t>“</w:t>
      </w:r>
      <w:r w:rsidR="00FA12AD" w:rsidRPr="00C74A2C">
        <w:rPr>
          <w:rFonts w:ascii="Cambria" w:eastAsiaTheme="majorEastAsia" w:hAnsi="Cambria" w:cstheme="majorBidi"/>
          <w:iCs/>
          <w:sz w:val="24"/>
          <w:szCs w:val="24"/>
        </w:rPr>
        <w:t>PPRA QLD</w:t>
      </w:r>
      <w:r w:rsidR="00B97811">
        <w:rPr>
          <w:rFonts w:ascii="Cambria" w:eastAsiaTheme="majorEastAsia" w:hAnsi="Cambria" w:cstheme="majorBidi"/>
          <w:iCs/>
          <w:sz w:val="24"/>
          <w:szCs w:val="24"/>
        </w:rPr>
        <w:t>”</w:t>
      </w:r>
      <w:r w:rsidR="00FA12AD" w:rsidRPr="00C74A2C">
        <w:rPr>
          <w:rFonts w:ascii="Cambria" w:eastAsiaTheme="majorEastAsia" w:hAnsi="Cambria" w:cstheme="majorBidi"/>
          <w:iCs/>
          <w:sz w:val="24"/>
          <w:szCs w:val="24"/>
        </w:rPr>
        <w:t>)</w:t>
      </w:r>
      <w:r w:rsidR="00BB191E" w:rsidRPr="00C74A2C">
        <w:rPr>
          <w:rFonts w:ascii="Cambria" w:eastAsiaTheme="majorEastAsia" w:hAnsi="Cambria" w:cstheme="majorBidi"/>
          <w:iCs/>
          <w:sz w:val="24"/>
          <w:szCs w:val="24"/>
        </w:rPr>
        <w:t>,</w:t>
      </w:r>
      <w:r w:rsidR="00BB191E" w:rsidRPr="00C74A2C">
        <w:rPr>
          <w:rFonts w:ascii="Cambria" w:eastAsiaTheme="majorEastAsia" w:hAnsi="Cambria" w:cstheme="majorBidi"/>
          <w:sz w:val="24"/>
          <w:szCs w:val="24"/>
          <w:vertAlign w:val="superscript"/>
        </w:rPr>
        <w:footnoteReference w:id="15"/>
      </w:r>
      <w:r w:rsidR="00FA12AD" w:rsidRPr="00C74A2C">
        <w:rPr>
          <w:rFonts w:ascii="Cambria" w:eastAsiaTheme="majorEastAsia" w:hAnsi="Cambria" w:cstheme="majorBidi"/>
          <w:iCs/>
          <w:sz w:val="24"/>
          <w:szCs w:val="24"/>
        </w:rPr>
        <w:t xml:space="preserve"> </w:t>
      </w:r>
      <w:r w:rsidR="00FA12AD" w:rsidRPr="00C74A2C">
        <w:rPr>
          <w:rFonts w:ascii="Cambria" w:eastAsiaTheme="majorEastAsia" w:hAnsi="Cambria" w:cstheme="majorBidi"/>
          <w:sz w:val="24"/>
          <w:szCs w:val="24"/>
        </w:rPr>
        <w:t>and the</w:t>
      </w:r>
      <w:r w:rsidR="00FA12AD" w:rsidRPr="00C74A2C">
        <w:rPr>
          <w:rFonts w:ascii="Cambria" w:eastAsiaTheme="majorEastAsia" w:hAnsi="Cambria" w:cstheme="majorBidi"/>
          <w:i/>
          <w:iCs/>
          <w:sz w:val="24"/>
          <w:szCs w:val="24"/>
        </w:rPr>
        <w:t xml:space="preserve"> Juvenile Justice Act </w:t>
      </w:r>
      <w:r w:rsidR="00FA12AD" w:rsidRPr="00C74A2C">
        <w:rPr>
          <w:rFonts w:ascii="Cambria" w:eastAsiaTheme="majorEastAsia" w:hAnsi="Cambria" w:cstheme="majorBidi"/>
          <w:sz w:val="24"/>
          <w:szCs w:val="24"/>
        </w:rPr>
        <w:t>1992 (Qld),</w:t>
      </w:r>
      <w:r w:rsidR="00FA12AD" w:rsidRPr="00C74A2C">
        <w:rPr>
          <w:rFonts w:ascii="Cambria" w:eastAsiaTheme="majorEastAsia" w:hAnsi="Cambria" w:cstheme="majorBidi"/>
          <w:sz w:val="24"/>
          <w:szCs w:val="24"/>
          <w:vertAlign w:val="superscript"/>
        </w:rPr>
        <w:footnoteReference w:id="16"/>
      </w:r>
      <w:r w:rsidR="00FA12AD" w:rsidRPr="00C74A2C">
        <w:rPr>
          <w:rFonts w:ascii="Cambria" w:eastAsiaTheme="majorEastAsia" w:hAnsi="Cambria" w:cstheme="majorBidi"/>
          <w:i/>
          <w:iCs/>
          <w:sz w:val="24"/>
          <w:szCs w:val="24"/>
        </w:rPr>
        <w:t xml:space="preserve"> </w:t>
      </w:r>
      <w:r w:rsidR="006C36DA" w:rsidRPr="00C74A2C">
        <w:rPr>
          <w:rFonts w:ascii="Cambria" w:eastAsiaTheme="majorEastAsia" w:hAnsi="Cambria" w:cstheme="majorBidi"/>
          <w:sz w:val="24"/>
          <w:szCs w:val="24"/>
        </w:rPr>
        <w:t xml:space="preserve">and draws on other associated legislation, to discuss the issues </w:t>
      </w:r>
      <w:r w:rsidR="002D25AA" w:rsidRPr="00C74A2C">
        <w:rPr>
          <w:rFonts w:ascii="Cambria" w:eastAsiaTheme="majorEastAsia" w:hAnsi="Cambria" w:cstheme="majorBidi"/>
          <w:sz w:val="24"/>
          <w:szCs w:val="24"/>
        </w:rPr>
        <w:t>pertaining to these processes and practices with young people</w:t>
      </w:r>
      <w:r w:rsidR="00D93C1E" w:rsidRPr="00C74A2C">
        <w:rPr>
          <w:rFonts w:ascii="Cambria" w:eastAsiaTheme="majorEastAsia" w:hAnsi="Cambria" w:cstheme="majorBidi"/>
          <w:sz w:val="24"/>
          <w:szCs w:val="24"/>
        </w:rPr>
        <w:t xml:space="preserve"> </w:t>
      </w:r>
      <w:r w:rsidR="00F052CB" w:rsidRPr="00C74A2C">
        <w:rPr>
          <w:rFonts w:ascii="Cambria" w:eastAsiaTheme="majorEastAsia" w:hAnsi="Cambria" w:cstheme="majorBidi"/>
          <w:sz w:val="24"/>
          <w:szCs w:val="24"/>
        </w:rPr>
        <w:t xml:space="preserve">(such as </w:t>
      </w:r>
      <w:r w:rsidR="00D93C1E" w:rsidRPr="00C74A2C">
        <w:rPr>
          <w:rFonts w:ascii="Cambria" w:eastAsiaTheme="majorEastAsia" w:hAnsi="Cambria" w:cstheme="majorBidi"/>
          <w:sz w:val="24"/>
          <w:szCs w:val="24"/>
        </w:rPr>
        <w:t>privacy, age, informed consent, and capacity</w:t>
      </w:r>
      <w:r w:rsidR="00F052CB" w:rsidRPr="00C74A2C">
        <w:rPr>
          <w:rFonts w:ascii="Cambria" w:eastAsiaTheme="majorEastAsia" w:hAnsi="Cambria" w:cstheme="majorBidi"/>
          <w:sz w:val="24"/>
          <w:szCs w:val="24"/>
        </w:rPr>
        <w:t>)</w:t>
      </w:r>
      <w:r w:rsidR="00D93C1E" w:rsidRPr="00C74A2C">
        <w:rPr>
          <w:rFonts w:ascii="Cambria" w:eastAsiaTheme="majorEastAsia" w:hAnsi="Cambria" w:cstheme="majorBidi"/>
          <w:sz w:val="24"/>
          <w:szCs w:val="24"/>
        </w:rPr>
        <w:t xml:space="preserve">. The analysis is informed by understandings of human rights as outlined by the </w:t>
      </w:r>
      <w:r w:rsidR="00D93C1E" w:rsidRPr="00C74A2C">
        <w:rPr>
          <w:rFonts w:ascii="Cambria" w:eastAsiaTheme="majorEastAsia" w:hAnsi="Cambria" w:cstheme="majorBidi"/>
          <w:i/>
          <w:iCs/>
          <w:sz w:val="24"/>
          <w:szCs w:val="24"/>
        </w:rPr>
        <w:t xml:space="preserve">Convention of the Rights of the </w:t>
      </w:r>
      <w:r w:rsidR="00D93C1E" w:rsidRPr="00C74A2C">
        <w:rPr>
          <w:rFonts w:ascii="Cambria" w:eastAsiaTheme="majorEastAsia" w:hAnsi="Cambria" w:cstheme="majorBidi"/>
          <w:i/>
          <w:iCs/>
          <w:sz w:val="24"/>
          <w:szCs w:val="24"/>
        </w:rPr>
        <w:lastRenderedPageBreak/>
        <w:t xml:space="preserve">Child </w:t>
      </w:r>
      <w:r w:rsidR="00D93C1E" w:rsidRPr="00C74A2C">
        <w:rPr>
          <w:rFonts w:ascii="Cambria" w:eastAsiaTheme="majorEastAsia" w:hAnsi="Cambria" w:cstheme="majorBidi"/>
          <w:sz w:val="24"/>
          <w:szCs w:val="24"/>
        </w:rPr>
        <w:t>(CRC) (UN 1989)</w:t>
      </w:r>
      <w:r w:rsidR="005A3DD1" w:rsidRPr="00C74A2C">
        <w:rPr>
          <w:rFonts w:ascii="Cambria" w:eastAsiaTheme="majorEastAsia" w:hAnsi="Cambria" w:cstheme="majorBidi"/>
          <w:sz w:val="24"/>
          <w:szCs w:val="24"/>
        </w:rPr>
        <w:t>,</w:t>
      </w:r>
      <w:r w:rsidR="00D93C1E" w:rsidRPr="00C74A2C">
        <w:rPr>
          <w:rFonts w:ascii="Cambria" w:eastAsiaTheme="majorEastAsia" w:hAnsi="Cambria" w:cstheme="majorBidi"/>
          <w:sz w:val="24"/>
          <w:szCs w:val="24"/>
          <w:vertAlign w:val="superscript"/>
        </w:rPr>
        <w:footnoteReference w:id="17"/>
      </w:r>
      <w:r w:rsidR="00D93C1E" w:rsidRPr="00C74A2C">
        <w:rPr>
          <w:rFonts w:ascii="Cambria" w:eastAsiaTheme="majorEastAsia" w:hAnsi="Cambria" w:cstheme="majorBidi"/>
          <w:sz w:val="24"/>
          <w:szCs w:val="24"/>
        </w:rPr>
        <w:t xml:space="preserve"> and the </w:t>
      </w:r>
      <w:r w:rsidR="00D93C1E" w:rsidRPr="00C74A2C">
        <w:rPr>
          <w:rFonts w:ascii="Cambria" w:eastAsiaTheme="majorEastAsia" w:hAnsi="Cambria" w:cstheme="majorBidi"/>
          <w:i/>
          <w:iCs/>
          <w:sz w:val="24"/>
          <w:szCs w:val="24"/>
        </w:rPr>
        <w:t>Standard Minimum Rules for Administration of Juvenile Justice</w:t>
      </w:r>
      <w:r w:rsidR="00D93C1E" w:rsidRPr="00C74A2C">
        <w:rPr>
          <w:rFonts w:ascii="Cambria" w:eastAsiaTheme="majorEastAsia" w:hAnsi="Cambria" w:cstheme="majorBidi"/>
          <w:sz w:val="24"/>
          <w:szCs w:val="24"/>
        </w:rPr>
        <w:t xml:space="preserve"> </w:t>
      </w:r>
      <w:r w:rsidR="00D93C1E" w:rsidRPr="00C74A2C">
        <w:rPr>
          <w:rFonts w:ascii="Cambria" w:eastAsiaTheme="majorEastAsia" w:hAnsi="Cambria" w:cstheme="majorBidi"/>
          <w:i/>
          <w:iCs/>
          <w:sz w:val="24"/>
          <w:szCs w:val="24"/>
        </w:rPr>
        <w:t xml:space="preserve">(Beijing Rules) </w:t>
      </w:r>
      <w:r w:rsidR="00D93C1E" w:rsidRPr="00C74A2C">
        <w:rPr>
          <w:rFonts w:ascii="Cambria" w:eastAsiaTheme="majorEastAsia" w:hAnsi="Cambria" w:cstheme="majorBidi"/>
          <w:sz w:val="24"/>
          <w:szCs w:val="24"/>
        </w:rPr>
        <w:t>(UN 1985)</w:t>
      </w:r>
      <w:r w:rsidR="005A3DD1" w:rsidRPr="00C74A2C">
        <w:rPr>
          <w:rFonts w:ascii="Cambria" w:eastAsiaTheme="majorEastAsia" w:hAnsi="Cambria" w:cstheme="majorBidi"/>
          <w:sz w:val="24"/>
          <w:szCs w:val="24"/>
        </w:rPr>
        <w:t>,</w:t>
      </w:r>
      <w:r w:rsidR="00D93C1E" w:rsidRPr="00C74A2C">
        <w:rPr>
          <w:rFonts w:ascii="Cambria" w:eastAsiaTheme="majorEastAsia" w:hAnsi="Cambria" w:cstheme="majorBidi"/>
          <w:sz w:val="24"/>
          <w:szCs w:val="24"/>
          <w:vertAlign w:val="superscript"/>
        </w:rPr>
        <w:footnoteReference w:id="18"/>
      </w:r>
      <w:r w:rsidR="00D93C1E" w:rsidRPr="00C74A2C">
        <w:rPr>
          <w:rFonts w:ascii="Cambria" w:eastAsiaTheme="majorEastAsia" w:hAnsi="Cambria" w:cstheme="majorBidi"/>
          <w:i/>
          <w:iCs/>
          <w:sz w:val="24"/>
          <w:szCs w:val="24"/>
        </w:rPr>
        <w:t xml:space="preserve"> </w:t>
      </w:r>
      <w:r w:rsidR="00D93C1E" w:rsidRPr="00C74A2C">
        <w:rPr>
          <w:rFonts w:ascii="Cambria" w:eastAsiaTheme="majorEastAsia" w:hAnsi="Cambria" w:cstheme="majorBidi"/>
          <w:sz w:val="24"/>
          <w:szCs w:val="24"/>
        </w:rPr>
        <w:t>as benchmarks for appropriate treatment of young offenders.</w:t>
      </w:r>
      <w:r w:rsidR="00F80230" w:rsidRPr="00C74A2C">
        <w:rPr>
          <w:rFonts w:ascii="Cambria" w:eastAsiaTheme="majorEastAsia" w:hAnsi="Cambria" w:cstheme="majorBidi"/>
          <w:sz w:val="24"/>
          <w:szCs w:val="24"/>
        </w:rPr>
        <w:t xml:space="preserve"> Arguments related to forensic procedures and DNA sampling, </w:t>
      </w:r>
      <w:r w:rsidR="003018DA">
        <w:rPr>
          <w:rFonts w:ascii="Cambria" w:eastAsiaTheme="majorEastAsia" w:hAnsi="Cambria" w:cstheme="majorBidi"/>
          <w:sz w:val="24"/>
          <w:szCs w:val="24"/>
        </w:rPr>
        <w:t xml:space="preserve">analysis, and retention raise </w:t>
      </w:r>
      <w:r w:rsidR="00F80230" w:rsidRPr="00C74A2C">
        <w:rPr>
          <w:rFonts w:ascii="Cambria" w:eastAsiaTheme="majorEastAsia" w:hAnsi="Cambria" w:cstheme="majorBidi"/>
          <w:sz w:val="24"/>
          <w:szCs w:val="24"/>
        </w:rPr>
        <w:t>complex issues and competing factors, and we suggest more research is needed to examine in detail the implications of these issues for</w:t>
      </w:r>
      <w:bookmarkStart w:id="3" w:name="page4"/>
      <w:bookmarkEnd w:id="3"/>
      <w:r w:rsidR="00F80230" w:rsidRPr="00C74A2C">
        <w:rPr>
          <w:rFonts w:ascii="Cambria" w:eastAsiaTheme="majorEastAsia" w:hAnsi="Cambria" w:cstheme="majorBidi"/>
          <w:sz w:val="24"/>
          <w:szCs w:val="24"/>
        </w:rPr>
        <w:t xml:space="preserve"> the lives of young offenders in particular. To do this, the paper begins by defining forensic procedures </w:t>
      </w:r>
      <w:r w:rsidR="00E956E7" w:rsidRPr="00C74A2C">
        <w:rPr>
          <w:rFonts w:ascii="Cambria" w:eastAsiaTheme="majorEastAsia" w:hAnsi="Cambria" w:cstheme="majorBidi"/>
          <w:sz w:val="24"/>
          <w:szCs w:val="24"/>
        </w:rPr>
        <w:t xml:space="preserve">(used for collecting DNA samples) </w:t>
      </w:r>
      <w:r w:rsidR="00F80230" w:rsidRPr="00C74A2C">
        <w:rPr>
          <w:rFonts w:ascii="Cambria" w:eastAsiaTheme="majorEastAsia" w:hAnsi="Cambria" w:cstheme="majorBidi"/>
          <w:sz w:val="24"/>
          <w:szCs w:val="24"/>
        </w:rPr>
        <w:t>and subsequent DNA</w:t>
      </w:r>
      <w:r w:rsidR="00E956E7" w:rsidRPr="00C74A2C">
        <w:rPr>
          <w:rFonts w:ascii="Cambria" w:eastAsiaTheme="majorEastAsia" w:hAnsi="Cambria" w:cstheme="majorBidi"/>
          <w:sz w:val="24"/>
          <w:szCs w:val="24"/>
        </w:rPr>
        <w:t xml:space="preserve"> profiling</w:t>
      </w:r>
      <w:r w:rsidR="00F80230" w:rsidRPr="00C74A2C">
        <w:rPr>
          <w:rFonts w:ascii="Cambria" w:eastAsiaTheme="majorEastAsia" w:hAnsi="Cambria" w:cstheme="majorBidi"/>
          <w:sz w:val="24"/>
          <w:szCs w:val="24"/>
        </w:rPr>
        <w:t xml:space="preserve"> </w:t>
      </w:r>
      <w:proofErr w:type="spellStart"/>
      <w:r w:rsidR="00F80230" w:rsidRPr="00C74A2C">
        <w:rPr>
          <w:rFonts w:ascii="Cambria" w:eastAsiaTheme="majorEastAsia" w:hAnsi="Cambria" w:cstheme="majorBidi"/>
          <w:sz w:val="24"/>
          <w:szCs w:val="24"/>
        </w:rPr>
        <w:t>databasing</w:t>
      </w:r>
      <w:proofErr w:type="spellEnd"/>
      <w:r w:rsidR="00F80230" w:rsidRPr="00C74A2C">
        <w:rPr>
          <w:rFonts w:ascii="Cambria" w:eastAsiaTheme="majorEastAsia" w:hAnsi="Cambria" w:cstheme="majorBidi"/>
          <w:sz w:val="24"/>
          <w:szCs w:val="24"/>
        </w:rPr>
        <w:t>, including a discussion of the types of information that can be extrapolated from these procedures. Following this, the paper analyses pertinent sections of the PPRA QLD to demonstrate the key human rights concerns that require further investigation. The paper concludes with the consideration of future directions of the use of DNA databases and the importance of balancing all the issues and competing factors.</w:t>
      </w:r>
    </w:p>
    <w:p w14:paraId="4B4CDC7D" w14:textId="4DD41768" w:rsidR="00461DE5" w:rsidRPr="003018DA" w:rsidRDefault="00EC774E" w:rsidP="004931B4">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Queensland, Australia, has been chosen as the context for this discussion as it represents a uniquely conservative political climate. For instance, with the </w:t>
      </w:r>
      <w:r w:rsidR="008252F2" w:rsidRPr="00C74A2C">
        <w:rPr>
          <w:rFonts w:ascii="Cambria" w:eastAsiaTheme="majorEastAsia" w:hAnsi="Cambria" w:cstheme="majorBidi"/>
          <w:sz w:val="24"/>
          <w:szCs w:val="24"/>
        </w:rPr>
        <w:t>election of the Liberal National Party in 2013, a range of amendments were passed in relation to youth justice legislation to produce a more punitive criminal processing system for young people aged 10 to 16 years</w:t>
      </w:r>
      <w:r w:rsidR="006420C7" w:rsidRPr="00C74A2C">
        <w:rPr>
          <w:rFonts w:ascii="Cambria" w:eastAsiaTheme="majorEastAsia" w:hAnsi="Cambria" w:cstheme="majorBidi"/>
          <w:sz w:val="24"/>
          <w:szCs w:val="24"/>
        </w:rPr>
        <w:t>, including the removal of detention as a last resort</w:t>
      </w:r>
      <w:r w:rsidR="00071C9A" w:rsidRPr="00C74A2C">
        <w:rPr>
          <w:rFonts w:ascii="Cambria" w:eastAsiaTheme="majorEastAsia" w:hAnsi="Cambria" w:cstheme="majorBidi"/>
          <w:sz w:val="24"/>
          <w:szCs w:val="24"/>
        </w:rPr>
        <w:t>;</w:t>
      </w:r>
      <w:r w:rsidR="006420C7" w:rsidRPr="00C74A2C">
        <w:rPr>
          <w:rFonts w:ascii="Cambria" w:eastAsiaTheme="majorEastAsia" w:hAnsi="Cambria" w:cstheme="majorBidi"/>
          <w:sz w:val="24"/>
          <w:szCs w:val="24"/>
        </w:rPr>
        <w:t xml:space="preserve"> opening the proceedings of the Children’s Court</w:t>
      </w:r>
      <w:r w:rsidR="00071C9A" w:rsidRPr="00C74A2C">
        <w:rPr>
          <w:rFonts w:ascii="Cambria" w:eastAsiaTheme="majorEastAsia" w:hAnsi="Cambria" w:cstheme="majorBidi"/>
          <w:sz w:val="24"/>
          <w:szCs w:val="24"/>
        </w:rPr>
        <w:t>;</w:t>
      </w:r>
      <w:r w:rsidR="006420C7" w:rsidRPr="00C74A2C">
        <w:rPr>
          <w:rFonts w:ascii="Cambria" w:eastAsiaTheme="majorEastAsia" w:hAnsi="Cambria" w:cstheme="majorBidi"/>
          <w:sz w:val="24"/>
          <w:szCs w:val="24"/>
        </w:rPr>
        <w:t xml:space="preserve"> facilitation of moving 17 year old offenders to adult prisons</w:t>
      </w:r>
      <w:r w:rsidR="00071C9A" w:rsidRPr="00C74A2C">
        <w:rPr>
          <w:rFonts w:ascii="Cambria" w:eastAsiaTheme="majorEastAsia" w:hAnsi="Cambria" w:cstheme="majorBidi"/>
          <w:sz w:val="24"/>
          <w:szCs w:val="24"/>
        </w:rPr>
        <w:t xml:space="preserve">; </w:t>
      </w:r>
      <w:r w:rsidR="006420C7" w:rsidRPr="00C74A2C">
        <w:rPr>
          <w:rFonts w:ascii="Cambria" w:eastAsiaTheme="majorEastAsia" w:hAnsi="Cambria" w:cstheme="majorBidi"/>
          <w:sz w:val="24"/>
          <w:szCs w:val="24"/>
        </w:rPr>
        <w:t>and the introduction of new bail offences and mandatory boot camp orders.</w:t>
      </w:r>
      <w:r w:rsidR="006420C7" w:rsidRPr="00C74A2C">
        <w:rPr>
          <w:rStyle w:val="FootnoteReference"/>
          <w:rFonts w:ascii="Cambria" w:eastAsiaTheme="majorEastAsia" w:hAnsi="Cambria" w:cstheme="majorBidi"/>
          <w:sz w:val="24"/>
          <w:szCs w:val="24"/>
        </w:rPr>
        <w:footnoteReference w:id="19"/>
      </w:r>
      <w:r w:rsidR="003018DA">
        <w:rPr>
          <w:rFonts w:ascii="Cambria" w:eastAsiaTheme="majorEastAsia" w:hAnsi="Cambria" w:cstheme="majorBidi"/>
          <w:sz w:val="24"/>
          <w:szCs w:val="24"/>
        </w:rPr>
        <w:t xml:space="preserve"> </w:t>
      </w:r>
      <w:r w:rsidR="002045F1" w:rsidRPr="003018DA">
        <w:rPr>
          <w:rFonts w:ascii="Cambria" w:hAnsi="Cambria" w:cs="Times New Roman"/>
          <w:sz w:val="24"/>
          <w:szCs w:val="24"/>
        </w:rPr>
        <w:t>On the 11 November 2016</w:t>
      </w:r>
      <w:r w:rsidR="007162B9" w:rsidRPr="003018DA">
        <w:rPr>
          <w:rFonts w:ascii="Cambria" w:hAnsi="Cambria" w:cs="Times New Roman"/>
          <w:sz w:val="24"/>
          <w:szCs w:val="24"/>
        </w:rPr>
        <w:t>,</w:t>
      </w:r>
      <w:r w:rsidR="002045F1" w:rsidRPr="003018DA">
        <w:rPr>
          <w:rFonts w:ascii="Cambria" w:hAnsi="Cambria" w:cs="Times New Roman"/>
          <w:sz w:val="24"/>
          <w:szCs w:val="24"/>
        </w:rPr>
        <w:t xml:space="preserve"> the</w:t>
      </w:r>
      <w:r w:rsidR="008560E4" w:rsidRPr="003018DA">
        <w:rPr>
          <w:rFonts w:ascii="Cambria" w:hAnsi="Cambria" w:cs="Times New Roman"/>
          <w:sz w:val="24"/>
          <w:szCs w:val="24"/>
        </w:rPr>
        <w:t xml:space="preserve"> </w:t>
      </w:r>
      <w:r w:rsidR="008560E4" w:rsidRPr="003018DA">
        <w:rPr>
          <w:rFonts w:ascii="Cambria" w:hAnsi="Cambria" w:cs="Times New Roman"/>
          <w:i/>
          <w:sz w:val="24"/>
          <w:szCs w:val="24"/>
        </w:rPr>
        <w:t>Youth Justice and Other Legislation (Inclusion of 17-year-old Persons) Amendment Act 2016</w:t>
      </w:r>
      <w:r w:rsidR="002045F1" w:rsidRPr="003018DA">
        <w:rPr>
          <w:rFonts w:ascii="Cambria" w:hAnsi="Cambria" w:cs="Times New Roman"/>
          <w:sz w:val="24"/>
          <w:szCs w:val="24"/>
        </w:rPr>
        <w:t xml:space="preserve"> received royal assent </w:t>
      </w:r>
      <w:r w:rsidR="008560E4" w:rsidRPr="003018DA">
        <w:rPr>
          <w:rFonts w:ascii="Cambria" w:hAnsi="Cambria" w:cs="Times New Roman"/>
          <w:sz w:val="24"/>
          <w:szCs w:val="24"/>
        </w:rPr>
        <w:t>and will commence by proclamation, which is expected to occur within 12 months of its passing.  This</w:t>
      </w:r>
      <w:r w:rsidR="00E84322" w:rsidRPr="003018DA">
        <w:rPr>
          <w:rFonts w:ascii="Cambria" w:hAnsi="Cambria" w:cs="Times New Roman"/>
          <w:sz w:val="24"/>
          <w:szCs w:val="24"/>
        </w:rPr>
        <w:t xml:space="preserve"> will </w:t>
      </w:r>
      <w:r w:rsidR="00BB3600" w:rsidRPr="003018DA">
        <w:rPr>
          <w:rFonts w:ascii="Cambria" w:hAnsi="Cambria" w:cs="Times New Roman"/>
          <w:sz w:val="24"/>
          <w:szCs w:val="24"/>
        </w:rPr>
        <w:t>then treat 17 year olds as young people</w:t>
      </w:r>
      <w:r w:rsidR="00E84322" w:rsidRPr="003018DA">
        <w:rPr>
          <w:rFonts w:ascii="Cambria" w:hAnsi="Cambria" w:cs="Times New Roman"/>
          <w:sz w:val="24"/>
          <w:szCs w:val="24"/>
        </w:rPr>
        <w:t xml:space="preserve"> rather than as adults, which</w:t>
      </w:r>
      <w:r w:rsidR="008560E4" w:rsidRPr="003018DA">
        <w:rPr>
          <w:rFonts w:ascii="Cambria" w:hAnsi="Cambria" w:cs="Times New Roman"/>
          <w:sz w:val="24"/>
          <w:szCs w:val="24"/>
        </w:rPr>
        <w:t xml:space="preserve"> would then align Q</w:t>
      </w:r>
      <w:r w:rsidR="002045F1" w:rsidRPr="003018DA">
        <w:rPr>
          <w:rFonts w:ascii="Cambria" w:hAnsi="Cambria" w:cs="Times New Roman"/>
          <w:sz w:val="24"/>
          <w:szCs w:val="24"/>
        </w:rPr>
        <w:t>ueensland</w:t>
      </w:r>
      <w:r w:rsidR="008560E4" w:rsidRPr="003018DA">
        <w:rPr>
          <w:rFonts w:ascii="Cambria" w:hAnsi="Cambria" w:cs="Times New Roman"/>
          <w:sz w:val="24"/>
          <w:szCs w:val="24"/>
        </w:rPr>
        <w:t xml:space="preserve"> with the other states.</w:t>
      </w:r>
      <w:r w:rsidR="008560E4" w:rsidRPr="00B23570">
        <w:rPr>
          <w:rFonts w:ascii="Cambria" w:hAnsi="Cambria" w:cs="Times New Roman"/>
          <w:sz w:val="24"/>
          <w:szCs w:val="24"/>
        </w:rPr>
        <w:t xml:space="preserve"> </w:t>
      </w:r>
    </w:p>
    <w:p w14:paraId="48DB5F75" w14:textId="4DCCF421" w:rsidR="00555173" w:rsidRPr="00C74A2C" w:rsidRDefault="002109D4" w:rsidP="0009255C">
      <w:pPr>
        <w:spacing w:before="360" w:line="360" w:lineRule="auto"/>
        <w:jc w:val="center"/>
        <w:rPr>
          <w:rFonts w:ascii="Cambria" w:eastAsiaTheme="majorEastAsia" w:hAnsi="Cambria" w:cstheme="majorBidi"/>
          <w:sz w:val="24"/>
          <w:szCs w:val="24"/>
        </w:rPr>
      </w:pPr>
      <w:r>
        <w:rPr>
          <w:rFonts w:ascii="Cambria" w:eastAsiaTheme="majorEastAsia" w:hAnsi="Cambria" w:cstheme="majorBidi"/>
          <w:smallCaps/>
          <w:sz w:val="24"/>
          <w:szCs w:val="24"/>
        </w:rPr>
        <w:t xml:space="preserve">II </w:t>
      </w:r>
      <w:r w:rsidR="00555173" w:rsidRPr="00C74A2C">
        <w:rPr>
          <w:rFonts w:ascii="Cambria" w:eastAsiaTheme="majorEastAsia" w:hAnsi="Cambria" w:cstheme="majorBidi"/>
          <w:smallCaps/>
          <w:sz w:val="24"/>
          <w:szCs w:val="24"/>
        </w:rPr>
        <w:t xml:space="preserve">What </w:t>
      </w:r>
      <w:r w:rsidR="002073D3" w:rsidRPr="00C74A2C">
        <w:rPr>
          <w:rFonts w:ascii="Cambria" w:eastAsiaTheme="majorEastAsia" w:hAnsi="Cambria" w:cstheme="majorBidi"/>
          <w:smallCaps/>
          <w:sz w:val="24"/>
          <w:szCs w:val="24"/>
        </w:rPr>
        <w:t>Are Forensic Procedures and DNA</w:t>
      </w:r>
      <w:r w:rsidR="00461DE5" w:rsidRPr="00C74A2C">
        <w:rPr>
          <w:rFonts w:ascii="Cambria" w:eastAsiaTheme="majorEastAsia" w:hAnsi="Cambria" w:cstheme="majorBidi"/>
          <w:smallCaps/>
          <w:sz w:val="24"/>
          <w:szCs w:val="24"/>
        </w:rPr>
        <w:t xml:space="preserve"> Sampling, Analysis, and</w:t>
      </w:r>
      <w:r w:rsidR="002073D3" w:rsidRPr="00C74A2C">
        <w:rPr>
          <w:rFonts w:ascii="Cambria" w:eastAsiaTheme="majorEastAsia" w:hAnsi="Cambria" w:cstheme="majorBidi"/>
          <w:smallCaps/>
          <w:sz w:val="24"/>
          <w:szCs w:val="24"/>
        </w:rPr>
        <w:t xml:space="preserve"> </w:t>
      </w:r>
      <w:proofErr w:type="spellStart"/>
      <w:r w:rsidR="002073D3" w:rsidRPr="00C74A2C">
        <w:rPr>
          <w:rFonts w:ascii="Cambria" w:eastAsiaTheme="majorEastAsia" w:hAnsi="Cambria" w:cstheme="majorBidi"/>
          <w:smallCaps/>
          <w:sz w:val="24"/>
          <w:szCs w:val="24"/>
        </w:rPr>
        <w:t>Databasing</w:t>
      </w:r>
      <w:proofErr w:type="spellEnd"/>
      <w:r w:rsidR="0003269A" w:rsidRPr="00C74A2C">
        <w:rPr>
          <w:rFonts w:ascii="Cambria" w:eastAsiaTheme="majorEastAsia" w:hAnsi="Cambria" w:cstheme="majorBidi"/>
          <w:smallCaps/>
          <w:sz w:val="24"/>
          <w:szCs w:val="24"/>
        </w:rPr>
        <w:t xml:space="preserve">, and </w:t>
      </w:r>
      <w:r w:rsidR="00B2268B">
        <w:rPr>
          <w:rFonts w:ascii="Cambria" w:eastAsiaTheme="majorEastAsia" w:hAnsi="Cambria" w:cstheme="majorBidi"/>
          <w:smallCaps/>
          <w:sz w:val="24"/>
          <w:szCs w:val="24"/>
        </w:rPr>
        <w:t>W</w:t>
      </w:r>
      <w:r w:rsidR="0003269A" w:rsidRPr="00C74A2C">
        <w:rPr>
          <w:rFonts w:ascii="Cambria" w:eastAsiaTheme="majorEastAsia" w:hAnsi="Cambria" w:cstheme="majorBidi"/>
          <w:smallCaps/>
          <w:sz w:val="24"/>
          <w:szCs w:val="24"/>
        </w:rPr>
        <w:t xml:space="preserve">hat </w:t>
      </w:r>
      <w:r w:rsidR="00B2268B">
        <w:rPr>
          <w:rFonts w:ascii="Cambria" w:eastAsiaTheme="majorEastAsia" w:hAnsi="Cambria" w:cstheme="majorBidi"/>
          <w:smallCaps/>
          <w:sz w:val="24"/>
          <w:szCs w:val="24"/>
        </w:rPr>
        <w:t>I</w:t>
      </w:r>
      <w:r w:rsidR="0003269A" w:rsidRPr="00C74A2C">
        <w:rPr>
          <w:rFonts w:ascii="Cambria" w:eastAsiaTheme="majorEastAsia" w:hAnsi="Cambria" w:cstheme="majorBidi"/>
          <w:smallCaps/>
          <w:sz w:val="24"/>
          <w:szCs w:val="24"/>
        </w:rPr>
        <w:t xml:space="preserve">nformation does it make it </w:t>
      </w:r>
      <w:r w:rsidR="00B2268B">
        <w:rPr>
          <w:rFonts w:ascii="Cambria" w:eastAsiaTheme="majorEastAsia" w:hAnsi="Cambria" w:cstheme="majorBidi"/>
          <w:smallCaps/>
          <w:sz w:val="24"/>
          <w:szCs w:val="24"/>
        </w:rPr>
        <w:t>P</w:t>
      </w:r>
      <w:r w:rsidR="0003269A" w:rsidRPr="00C74A2C">
        <w:rPr>
          <w:rFonts w:ascii="Cambria" w:eastAsiaTheme="majorEastAsia" w:hAnsi="Cambria" w:cstheme="majorBidi"/>
          <w:smallCaps/>
          <w:sz w:val="24"/>
          <w:szCs w:val="24"/>
        </w:rPr>
        <w:t xml:space="preserve">ossible to </w:t>
      </w:r>
      <w:r w:rsidR="00B2268B">
        <w:rPr>
          <w:rFonts w:ascii="Cambria" w:eastAsiaTheme="majorEastAsia" w:hAnsi="Cambria" w:cstheme="majorBidi"/>
          <w:smallCaps/>
          <w:sz w:val="24"/>
          <w:szCs w:val="24"/>
        </w:rPr>
        <w:t>E</w:t>
      </w:r>
      <w:r w:rsidR="0003269A" w:rsidRPr="00C74A2C">
        <w:rPr>
          <w:rFonts w:ascii="Cambria" w:eastAsiaTheme="majorEastAsia" w:hAnsi="Cambria" w:cstheme="majorBidi"/>
          <w:smallCaps/>
          <w:sz w:val="24"/>
          <w:szCs w:val="24"/>
        </w:rPr>
        <w:t>xtrapolate</w:t>
      </w:r>
      <w:r w:rsidR="002073D3" w:rsidRPr="00C74A2C">
        <w:rPr>
          <w:rFonts w:ascii="Cambria" w:eastAsiaTheme="majorEastAsia" w:hAnsi="Cambria" w:cstheme="majorBidi"/>
          <w:smallCaps/>
          <w:sz w:val="24"/>
          <w:szCs w:val="24"/>
        </w:rPr>
        <w:t xml:space="preserve">? </w:t>
      </w:r>
    </w:p>
    <w:p w14:paraId="0CD17E53" w14:textId="624864D1" w:rsidR="0072733D" w:rsidRPr="002032A6" w:rsidRDefault="00461DE5"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lastRenderedPageBreak/>
        <w:t xml:space="preserve">To more fully understand the issues, it is important to define the key concepts. For this purpose, we draw on definitions from the PPRA QLD and generic definitions where required. </w:t>
      </w:r>
      <w:r w:rsidR="007078C0" w:rsidRPr="00C74A2C">
        <w:rPr>
          <w:rFonts w:ascii="Cambria" w:eastAsiaTheme="majorEastAsia" w:hAnsi="Cambria" w:cstheme="majorBidi"/>
          <w:sz w:val="24"/>
          <w:szCs w:val="24"/>
        </w:rPr>
        <w:t xml:space="preserve">Forensic procedures collect physical samples from the human body in the form of bodily fluids and tissues, including </w:t>
      </w:r>
      <w:r w:rsidR="002C0BF9" w:rsidRPr="00C74A2C">
        <w:rPr>
          <w:rFonts w:ascii="Cambria" w:eastAsiaTheme="majorEastAsia" w:hAnsi="Cambria" w:cstheme="majorBidi"/>
          <w:sz w:val="24"/>
          <w:szCs w:val="24"/>
        </w:rPr>
        <w:t>‘</w:t>
      </w:r>
      <w:r w:rsidR="007078C0" w:rsidRPr="00C74A2C">
        <w:rPr>
          <w:rFonts w:ascii="Cambria" w:eastAsiaTheme="majorEastAsia" w:hAnsi="Cambria" w:cstheme="majorBidi"/>
          <w:sz w:val="24"/>
          <w:szCs w:val="24"/>
        </w:rPr>
        <w:t>blood, semen, saliva, hair</w:t>
      </w:r>
      <w:r w:rsidR="002C0BF9" w:rsidRPr="00C74A2C">
        <w:rPr>
          <w:rFonts w:ascii="Cambria" w:eastAsiaTheme="majorEastAsia" w:hAnsi="Cambria" w:cstheme="majorBidi"/>
          <w:sz w:val="24"/>
          <w:szCs w:val="24"/>
        </w:rPr>
        <w:t xml:space="preserve"> roots and scalp detritus, flesh, skin, vaginal fluids, and nasal secretions’</w:t>
      </w:r>
      <w:r w:rsidR="007078C0" w:rsidRPr="00C74A2C">
        <w:rPr>
          <w:rFonts w:ascii="Cambria" w:eastAsiaTheme="majorEastAsia" w:hAnsi="Cambria" w:cstheme="majorBidi"/>
          <w:sz w:val="24"/>
          <w:szCs w:val="24"/>
        </w:rPr>
        <w:t>.</w:t>
      </w:r>
      <w:r w:rsidR="002C0BF9" w:rsidRPr="002032A6">
        <w:rPr>
          <w:rStyle w:val="FootnoteReference"/>
          <w:rFonts w:ascii="Cambria" w:eastAsiaTheme="majorEastAsia" w:hAnsi="Cambria" w:cstheme="majorBidi"/>
          <w:sz w:val="24"/>
          <w:szCs w:val="24"/>
        </w:rPr>
        <w:footnoteReference w:id="20"/>
      </w:r>
      <w:r w:rsidR="007078C0" w:rsidRPr="002032A6">
        <w:rPr>
          <w:rFonts w:ascii="Cambria" w:eastAsiaTheme="majorEastAsia" w:hAnsi="Cambria" w:cstheme="majorBidi"/>
          <w:sz w:val="24"/>
          <w:szCs w:val="24"/>
        </w:rPr>
        <w:t xml:space="preserve"> </w:t>
      </w:r>
      <w:r w:rsidRPr="002032A6">
        <w:rPr>
          <w:rFonts w:ascii="Cambria" w:eastAsiaTheme="majorEastAsia" w:hAnsi="Cambria" w:cstheme="majorBidi"/>
          <w:sz w:val="24"/>
          <w:szCs w:val="24"/>
        </w:rPr>
        <w:t xml:space="preserve">The PPRA QLD </w:t>
      </w:r>
      <w:r w:rsidR="00624829" w:rsidRPr="002032A6">
        <w:rPr>
          <w:rFonts w:ascii="Cambria" w:eastAsiaTheme="majorEastAsia" w:hAnsi="Cambria" w:cstheme="majorBidi"/>
          <w:sz w:val="24"/>
          <w:szCs w:val="24"/>
        </w:rPr>
        <w:t>defines a forensic procedure as</w:t>
      </w:r>
      <w:r w:rsidR="00624829" w:rsidRPr="00054353">
        <w:rPr>
          <w:rFonts w:ascii="Cambria" w:eastAsiaTheme="majorEastAsia" w:hAnsi="Cambria" w:cstheme="majorBidi"/>
          <w:sz w:val="24"/>
          <w:szCs w:val="24"/>
        </w:rPr>
        <w:t>:</w:t>
      </w:r>
      <w:r w:rsidR="00624829" w:rsidRPr="0047622D">
        <w:rPr>
          <w:rFonts w:ascii="Cambria" w:eastAsia="Times New Roman" w:hAnsi="Cambria" w:cs="Times New Roman"/>
          <w:color w:val="000000"/>
          <w:sz w:val="24"/>
          <w:szCs w:val="24"/>
          <w:lang w:val="en-GB" w:eastAsia="zh-CN"/>
        </w:rPr>
        <w:t xml:space="preserve"> (</w:t>
      </w:r>
      <w:proofErr w:type="spellStart"/>
      <w:r w:rsidR="00624829" w:rsidRPr="0047622D">
        <w:rPr>
          <w:rFonts w:ascii="Cambria" w:eastAsia="Times New Roman" w:hAnsi="Cambria" w:cs="Times New Roman"/>
          <w:color w:val="000000"/>
          <w:sz w:val="24"/>
          <w:szCs w:val="24"/>
          <w:lang w:val="en-GB" w:eastAsia="zh-CN"/>
        </w:rPr>
        <w:t>a</w:t>
      </w:r>
      <w:proofErr w:type="spellEnd"/>
      <w:r w:rsidR="00624829" w:rsidRPr="0047622D">
        <w:rPr>
          <w:rFonts w:ascii="Cambria" w:eastAsia="Times New Roman" w:hAnsi="Cambria" w:cs="Times New Roman"/>
          <w:color w:val="000000"/>
          <w:sz w:val="24"/>
          <w:szCs w:val="24"/>
          <w:lang w:val="en-GB" w:eastAsia="zh-CN"/>
        </w:rPr>
        <w:t>) an intimate forensic procedure; or</w:t>
      </w:r>
      <w:r w:rsidR="00624829" w:rsidRPr="00054353">
        <w:rPr>
          <w:rFonts w:ascii="Cambria" w:eastAsiaTheme="majorEastAsia" w:hAnsi="Cambria" w:cstheme="majorBidi"/>
          <w:sz w:val="24"/>
          <w:szCs w:val="24"/>
        </w:rPr>
        <w:t xml:space="preserve"> </w:t>
      </w:r>
      <w:r w:rsidR="00624829" w:rsidRPr="0047622D">
        <w:rPr>
          <w:rFonts w:ascii="Cambria" w:eastAsia="Times New Roman" w:hAnsi="Cambria" w:cs="Times New Roman"/>
          <w:color w:val="000000"/>
          <w:sz w:val="24"/>
          <w:szCs w:val="24"/>
          <w:lang w:val="en-GB" w:eastAsia="zh-CN"/>
        </w:rPr>
        <w:t>(</w:t>
      </w:r>
      <w:proofErr w:type="spellStart"/>
      <w:r w:rsidR="00624829" w:rsidRPr="0047622D">
        <w:rPr>
          <w:rFonts w:ascii="Cambria" w:eastAsia="Times New Roman" w:hAnsi="Cambria" w:cs="Times New Roman"/>
          <w:color w:val="000000"/>
          <w:sz w:val="24"/>
          <w:szCs w:val="24"/>
          <w:lang w:val="en-GB" w:eastAsia="zh-CN"/>
        </w:rPr>
        <w:t>b</w:t>
      </w:r>
      <w:proofErr w:type="spellEnd"/>
      <w:r w:rsidR="00624829" w:rsidRPr="0047622D">
        <w:rPr>
          <w:rFonts w:ascii="Cambria" w:eastAsia="Times New Roman" w:hAnsi="Cambria" w:cs="Times New Roman"/>
          <w:color w:val="000000"/>
          <w:sz w:val="24"/>
          <w:szCs w:val="24"/>
          <w:lang w:val="en-GB" w:eastAsia="zh-CN"/>
        </w:rPr>
        <w:t>) a non-intimate forensic procedure.</w:t>
      </w:r>
      <w:r w:rsidR="00712D62" w:rsidRPr="0047622D">
        <w:rPr>
          <w:rStyle w:val="FootnoteReference"/>
          <w:rFonts w:ascii="Cambria" w:eastAsia="Times New Roman" w:hAnsi="Cambria" w:cs="Times New Roman"/>
          <w:color w:val="000000"/>
          <w:sz w:val="24"/>
          <w:szCs w:val="24"/>
          <w:lang w:val="en-GB" w:eastAsia="zh-CN"/>
        </w:rPr>
        <w:footnoteReference w:id="21"/>
      </w:r>
      <w:r w:rsidR="00624829" w:rsidRPr="002032A6">
        <w:rPr>
          <w:rFonts w:ascii="Cambria" w:eastAsia="Times New Roman" w:hAnsi="Cambria" w:cs="Times New Roman"/>
          <w:color w:val="000000"/>
          <w:sz w:val="27"/>
          <w:szCs w:val="27"/>
          <w:lang w:val="en-GB" w:eastAsia="zh-CN"/>
        </w:rPr>
        <w:t xml:space="preserve"> </w:t>
      </w:r>
      <w:r w:rsidR="00624829" w:rsidRPr="0009255C">
        <w:rPr>
          <w:rFonts w:ascii="Cambria" w:eastAsia="Times New Roman" w:hAnsi="Cambria" w:cs="Times New Roman"/>
          <w:color w:val="000000"/>
          <w:sz w:val="24"/>
          <w:szCs w:val="24"/>
          <w:lang w:val="en-GB" w:eastAsia="zh-CN"/>
        </w:rPr>
        <w:t>Surprisingly, this definition fails to describe precisely what a forensic procedure is other than to distinguish between intimate and non-intimate.</w:t>
      </w:r>
      <w:r w:rsidR="00560D52" w:rsidRPr="0009255C">
        <w:rPr>
          <w:rFonts w:ascii="Cambria" w:eastAsia="Times New Roman" w:hAnsi="Cambria" w:cs="Times New Roman"/>
          <w:color w:val="000000"/>
          <w:sz w:val="24"/>
          <w:szCs w:val="24"/>
          <w:lang w:val="en-GB" w:eastAsia="zh-CN"/>
        </w:rPr>
        <w:t xml:space="preserve"> In </w:t>
      </w:r>
      <w:r w:rsidR="00C15047" w:rsidRPr="0009255C">
        <w:rPr>
          <w:rFonts w:ascii="Cambria" w:eastAsia="Times New Roman" w:hAnsi="Cambria" w:cs="Times New Roman"/>
          <w:color w:val="000000"/>
          <w:sz w:val="24"/>
          <w:szCs w:val="24"/>
          <w:lang w:val="en-GB" w:eastAsia="zh-CN"/>
        </w:rPr>
        <w:t>defining a</w:t>
      </w:r>
      <w:r w:rsidR="00560D52" w:rsidRPr="0009255C">
        <w:rPr>
          <w:rFonts w:ascii="Cambria" w:eastAsia="Times New Roman" w:hAnsi="Cambria" w:cs="Times New Roman"/>
          <w:color w:val="000000"/>
          <w:sz w:val="24"/>
          <w:szCs w:val="24"/>
          <w:lang w:val="en-GB" w:eastAsia="zh-CN"/>
        </w:rPr>
        <w:t xml:space="preserve"> non-intimate</w:t>
      </w:r>
      <w:r w:rsidR="00C15047" w:rsidRPr="0009255C">
        <w:rPr>
          <w:rFonts w:ascii="Cambria" w:eastAsia="Times New Roman" w:hAnsi="Cambria" w:cs="Times New Roman"/>
          <w:color w:val="000000"/>
          <w:sz w:val="24"/>
          <w:szCs w:val="24"/>
          <w:lang w:val="en-GB" w:eastAsia="zh-CN"/>
        </w:rPr>
        <w:t xml:space="preserve"> forensic procedure, we learn that it is</w:t>
      </w:r>
      <w:r w:rsidR="00C15047" w:rsidRPr="002032A6">
        <w:rPr>
          <w:rFonts w:ascii="Cambria" w:eastAsia="Times New Roman" w:hAnsi="Cambria" w:cs="Times New Roman"/>
          <w:color w:val="000000"/>
          <w:sz w:val="27"/>
          <w:szCs w:val="27"/>
          <w:lang w:val="en-GB" w:eastAsia="zh-CN"/>
        </w:rPr>
        <w:t xml:space="preserve"> ‘</w:t>
      </w:r>
      <w:r w:rsidR="00C15047" w:rsidRPr="009545D8">
        <w:rPr>
          <w:rFonts w:ascii="Cambria" w:eastAsia="Times New Roman" w:hAnsi="Cambria" w:cs="Times New Roman"/>
          <w:color w:val="000000"/>
          <w:sz w:val="27"/>
          <w:szCs w:val="27"/>
          <w:lang w:val="en-GB" w:eastAsia="zh-CN"/>
        </w:rPr>
        <w:t>a procedure perform</w:t>
      </w:r>
      <w:r w:rsidR="00C15047" w:rsidRPr="00592413">
        <w:rPr>
          <w:rFonts w:ascii="Cambria" w:eastAsia="Times New Roman" w:hAnsi="Cambria" w:cs="Times New Roman"/>
          <w:color w:val="000000"/>
          <w:sz w:val="27"/>
          <w:szCs w:val="27"/>
          <w:lang w:val="en-GB" w:eastAsia="zh-CN"/>
        </w:rPr>
        <w:t>ed on a person</w:t>
      </w:r>
      <w:r w:rsidR="009914B2" w:rsidRPr="009545D8">
        <w:rPr>
          <w:rFonts w:ascii="Cambria" w:eastAsia="Times New Roman" w:hAnsi="Cambria" w:cs="Times New Roman"/>
          <w:color w:val="000000"/>
          <w:sz w:val="27"/>
          <w:szCs w:val="27"/>
          <w:lang w:val="en-GB" w:eastAsia="zh-CN"/>
        </w:rPr>
        <w:t>’</w:t>
      </w:r>
      <w:r w:rsidR="009914B2" w:rsidRPr="002032A6">
        <w:rPr>
          <w:rFonts w:ascii="Cambria" w:eastAsia="Times New Roman" w:hAnsi="Cambria" w:cs="Times New Roman"/>
          <w:color w:val="000000"/>
          <w:sz w:val="27"/>
          <w:szCs w:val="27"/>
          <w:lang w:val="en-GB" w:eastAsia="zh-CN"/>
        </w:rPr>
        <w:t>.</w:t>
      </w:r>
      <w:r w:rsidR="0041215F" w:rsidRPr="002032A6">
        <w:rPr>
          <w:rStyle w:val="FootnoteReference"/>
          <w:rFonts w:ascii="Cambria" w:eastAsia="Times New Roman" w:hAnsi="Cambria" w:cs="Times New Roman"/>
          <w:color w:val="000000"/>
          <w:sz w:val="27"/>
          <w:szCs w:val="27"/>
          <w:lang w:val="en-GB" w:eastAsia="zh-CN"/>
        </w:rPr>
        <w:footnoteReference w:id="22"/>
      </w:r>
      <w:r w:rsidR="001656C9" w:rsidRPr="002032A6">
        <w:rPr>
          <w:rFonts w:ascii="Cambria" w:eastAsiaTheme="majorEastAsia" w:hAnsi="Cambria" w:cstheme="majorBidi"/>
          <w:sz w:val="24"/>
          <w:szCs w:val="24"/>
        </w:rPr>
        <w:t xml:space="preserve"> </w:t>
      </w:r>
      <w:r w:rsidR="002073D3" w:rsidRPr="002032A6">
        <w:rPr>
          <w:rFonts w:ascii="Cambria" w:eastAsiaTheme="majorEastAsia" w:hAnsi="Cambria" w:cstheme="majorBidi"/>
          <w:sz w:val="24"/>
          <w:szCs w:val="24"/>
        </w:rPr>
        <w:t xml:space="preserve">These samples </w:t>
      </w:r>
      <w:r w:rsidR="009914B2" w:rsidRPr="002032A6">
        <w:rPr>
          <w:rFonts w:ascii="Cambria" w:eastAsiaTheme="majorEastAsia" w:hAnsi="Cambria" w:cstheme="majorBidi"/>
          <w:sz w:val="24"/>
          <w:szCs w:val="24"/>
        </w:rPr>
        <w:t xml:space="preserve">collected through forensic procedures </w:t>
      </w:r>
      <w:r w:rsidR="002073D3" w:rsidRPr="002032A6">
        <w:rPr>
          <w:rFonts w:ascii="Cambria" w:eastAsiaTheme="majorEastAsia" w:hAnsi="Cambria" w:cstheme="majorBidi"/>
          <w:sz w:val="24"/>
          <w:szCs w:val="24"/>
        </w:rPr>
        <w:t>carry deoxyribonucleic acid (DNA</w:t>
      </w:r>
      <w:r w:rsidR="003E3665" w:rsidRPr="002032A6">
        <w:rPr>
          <w:rFonts w:ascii="Cambria" w:eastAsiaTheme="majorEastAsia" w:hAnsi="Cambria" w:cstheme="majorBidi"/>
          <w:sz w:val="24"/>
          <w:szCs w:val="24"/>
        </w:rPr>
        <w:t>)</w:t>
      </w:r>
      <w:r w:rsidR="00712D62" w:rsidRPr="002032A6">
        <w:rPr>
          <w:rFonts w:ascii="Cambria" w:eastAsiaTheme="majorEastAsia" w:hAnsi="Cambria" w:cstheme="majorBidi"/>
          <w:sz w:val="24"/>
          <w:szCs w:val="24"/>
        </w:rPr>
        <w:t>;</w:t>
      </w:r>
      <w:r w:rsidR="003E3665" w:rsidRPr="002032A6">
        <w:rPr>
          <w:rFonts w:ascii="Cambria" w:eastAsiaTheme="majorEastAsia" w:hAnsi="Cambria" w:cstheme="majorBidi"/>
          <w:sz w:val="24"/>
          <w:szCs w:val="24"/>
        </w:rPr>
        <w:t xml:space="preserve"> ‘the genetic material of living organisms that determines every individual’s hereditary characteristics, and exact copies of this material are found in every living cell’ of the human body.</w:t>
      </w:r>
      <w:r w:rsidR="003E3665" w:rsidRPr="002032A6">
        <w:rPr>
          <w:rStyle w:val="FootnoteReference"/>
          <w:rFonts w:ascii="Cambria" w:eastAsiaTheme="majorEastAsia" w:hAnsi="Cambria" w:cstheme="majorBidi"/>
          <w:sz w:val="24"/>
          <w:szCs w:val="24"/>
        </w:rPr>
        <w:footnoteReference w:id="23"/>
      </w:r>
    </w:p>
    <w:p w14:paraId="163DA392" w14:textId="060DE913" w:rsidR="001656C9" w:rsidRPr="002032A6" w:rsidRDefault="002073D3" w:rsidP="72A6D696">
      <w:pPr>
        <w:spacing w:line="360" w:lineRule="auto"/>
        <w:jc w:val="both"/>
        <w:rPr>
          <w:rFonts w:ascii="Cambria" w:eastAsiaTheme="majorEastAsia" w:hAnsi="Cambria" w:cstheme="majorBidi"/>
          <w:sz w:val="24"/>
          <w:szCs w:val="24"/>
        </w:rPr>
      </w:pPr>
      <w:r w:rsidRPr="002032A6">
        <w:rPr>
          <w:rFonts w:ascii="Cambria" w:eastAsiaTheme="majorEastAsia" w:hAnsi="Cambria" w:cstheme="majorBidi"/>
          <w:sz w:val="24"/>
          <w:szCs w:val="24"/>
        </w:rPr>
        <w:t>The forensic material taken in the samples collected through these procedures can be analysed through a process of DNA profiling or typing</w:t>
      </w:r>
      <w:r w:rsidR="00A360D2" w:rsidRPr="002032A6">
        <w:rPr>
          <w:rFonts w:ascii="Cambria" w:eastAsiaTheme="majorEastAsia" w:hAnsi="Cambria" w:cstheme="majorBidi"/>
          <w:sz w:val="24"/>
          <w:szCs w:val="24"/>
        </w:rPr>
        <w:t xml:space="preserve"> or fingerprinting</w:t>
      </w:r>
      <w:r w:rsidRPr="002032A6">
        <w:rPr>
          <w:rFonts w:ascii="Cambria" w:eastAsiaTheme="majorEastAsia" w:hAnsi="Cambria" w:cstheme="majorBidi"/>
          <w:sz w:val="24"/>
          <w:szCs w:val="24"/>
        </w:rPr>
        <w:t xml:space="preserve">. </w:t>
      </w:r>
      <w:r w:rsidRPr="0009255C">
        <w:rPr>
          <w:rFonts w:ascii="Cambria" w:eastAsiaTheme="majorEastAsia" w:hAnsi="Cambria" w:cstheme="majorBidi"/>
          <w:sz w:val="24"/>
          <w:szCs w:val="24"/>
        </w:rPr>
        <w:t xml:space="preserve">The Australian </w:t>
      </w:r>
      <w:r w:rsidR="00192F92">
        <w:rPr>
          <w:rFonts w:ascii="Cambria" w:eastAsiaTheme="majorEastAsia" w:hAnsi="Cambria" w:cstheme="majorBidi"/>
          <w:sz w:val="24"/>
          <w:szCs w:val="24"/>
        </w:rPr>
        <w:t>and New Zealand Policing Advisory Agency</w:t>
      </w:r>
      <w:r w:rsidR="00B41CBD">
        <w:rPr>
          <w:rFonts w:ascii="Cambria" w:eastAsiaTheme="majorEastAsia" w:hAnsi="Cambria" w:cstheme="majorBidi"/>
          <w:sz w:val="24"/>
          <w:szCs w:val="24"/>
        </w:rPr>
        <w:t>, on their website discussing forensic sciences,</w:t>
      </w:r>
      <w:r w:rsidR="00192F92">
        <w:rPr>
          <w:rFonts w:ascii="Cambria" w:eastAsiaTheme="majorEastAsia" w:hAnsi="Cambria" w:cstheme="majorBidi"/>
          <w:sz w:val="24"/>
          <w:szCs w:val="24"/>
        </w:rPr>
        <w:t xml:space="preserve"> </w:t>
      </w:r>
      <w:r w:rsidRPr="0009255C">
        <w:rPr>
          <w:rFonts w:ascii="Cambria" w:eastAsiaTheme="majorEastAsia" w:hAnsi="Cambria" w:cstheme="majorBidi"/>
          <w:sz w:val="24"/>
          <w:szCs w:val="24"/>
        </w:rPr>
        <w:t>defines DNA profiling or typing as the</w:t>
      </w:r>
      <w:r w:rsidR="00B41CBD">
        <w:rPr>
          <w:rFonts w:ascii="Cambria" w:eastAsiaTheme="majorEastAsia" w:hAnsi="Cambria" w:cstheme="majorBidi"/>
          <w:sz w:val="24"/>
          <w:szCs w:val="24"/>
        </w:rPr>
        <w:t xml:space="preserve"> process used</w:t>
      </w:r>
      <w:r w:rsidRPr="0009255C">
        <w:rPr>
          <w:rFonts w:ascii="Cambria" w:eastAsiaTheme="majorEastAsia" w:hAnsi="Cambria" w:cstheme="majorBidi"/>
          <w:sz w:val="24"/>
          <w:szCs w:val="24"/>
        </w:rPr>
        <w:t xml:space="preserve"> </w:t>
      </w:r>
      <w:r w:rsidR="00592413">
        <w:rPr>
          <w:rFonts w:ascii="Cambria" w:eastAsiaTheme="majorEastAsia" w:hAnsi="Cambria" w:cstheme="majorBidi"/>
          <w:sz w:val="24"/>
          <w:szCs w:val="24"/>
        </w:rPr>
        <w:t>‘</w:t>
      </w:r>
      <w:r w:rsidR="00B41CBD" w:rsidRPr="00B41CBD">
        <w:rPr>
          <w:rFonts w:ascii="Cambria" w:eastAsiaTheme="majorEastAsia" w:hAnsi="Cambria" w:cstheme="majorBidi"/>
          <w:sz w:val="24"/>
          <w:szCs w:val="24"/>
        </w:rPr>
        <w:t>to distinguish between individuals based on differences in their DNA</w:t>
      </w:r>
      <w:r w:rsidR="00592413">
        <w:rPr>
          <w:rFonts w:ascii="Cambria" w:eastAsiaTheme="majorEastAsia" w:hAnsi="Cambria" w:cstheme="majorBidi"/>
          <w:sz w:val="24"/>
          <w:szCs w:val="24"/>
        </w:rPr>
        <w:t>’</w:t>
      </w:r>
      <w:r w:rsidRPr="0009255C">
        <w:rPr>
          <w:rFonts w:ascii="Cambria" w:eastAsiaTheme="majorEastAsia" w:hAnsi="Cambria" w:cstheme="majorBidi"/>
          <w:sz w:val="24"/>
          <w:szCs w:val="24"/>
        </w:rPr>
        <w:t>.</w:t>
      </w:r>
      <w:r w:rsidR="002D366D" w:rsidRPr="0009255C">
        <w:rPr>
          <w:rStyle w:val="FootnoteReference"/>
          <w:rFonts w:ascii="Cambria" w:eastAsiaTheme="majorEastAsia" w:hAnsi="Cambria" w:cstheme="majorBidi"/>
          <w:sz w:val="24"/>
          <w:szCs w:val="24"/>
        </w:rPr>
        <w:footnoteReference w:id="24"/>
      </w:r>
      <w:r w:rsidRPr="002032A6">
        <w:rPr>
          <w:rFonts w:ascii="Cambria" w:eastAsiaTheme="majorEastAsia" w:hAnsi="Cambria" w:cstheme="majorBidi"/>
          <w:sz w:val="24"/>
          <w:szCs w:val="24"/>
        </w:rPr>
        <w:t xml:space="preserve"> This involves a scientific process whereby the </w:t>
      </w:r>
      <w:r w:rsidR="00262788" w:rsidRPr="002032A6">
        <w:rPr>
          <w:rFonts w:ascii="Cambria" w:eastAsiaTheme="majorEastAsia" w:hAnsi="Cambria" w:cstheme="majorBidi"/>
          <w:sz w:val="24"/>
          <w:szCs w:val="24"/>
        </w:rPr>
        <w:t>“</w:t>
      </w:r>
      <w:r w:rsidRPr="002032A6">
        <w:rPr>
          <w:rFonts w:ascii="Cambria" w:eastAsiaTheme="majorEastAsia" w:hAnsi="Cambria" w:cstheme="majorBidi"/>
          <w:sz w:val="24"/>
          <w:szCs w:val="24"/>
        </w:rPr>
        <w:t>fingerprint-like</w:t>
      </w:r>
      <w:r w:rsidR="00262788" w:rsidRPr="002032A6">
        <w:rPr>
          <w:rFonts w:ascii="Cambria" w:eastAsiaTheme="majorEastAsia" w:hAnsi="Cambria" w:cstheme="majorBidi"/>
          <w:sz w:val="24"/>
          <w:szCs w:val="24"/>
        </w:rPr>
        <w:t>”</w:t>
      </w:r>
      <w:r w:rsidRPr="002032A6">
        <w:rPr>
          <w:rFonts w:ascii="Cambria" w:eastAsiaTheme="majorEastAsia" w:hAnsi="Cambria" w:cstheme="majorBidi"/>
          <w:sz w:val="24"/>
          <w:szCs w:val="24"/>
        </w:rPr>
        <w:t xml:space="preserve"> structure of the DNA of a person can be mapped</w:t>
      </w:r>
      <w:r w:rsidR="00695BF3" w:rsidRPr="002032A6">
        <w:rPr>
          <w:rFonts w:ascii="Cambria" w:eastAsiaTheme="majorEastAsia" w:hAnsi="Cambria" w:cstheme="majorBidi"/>
          <w:sz w:val="24"/>
          <w:szCs w:val="24"/>
        </w:rPr>
        <w:t xml:space="preserve"> </w:t>
      </w:r>
      <w:r w:rsidR="001D714B" w:rsidRPr="00B44005">
        <w:rPr>
          <w:rFonts w:ascii="Cambria" w:hAnsi="Cambria"/>
          <w:sz w:val="24"/>
          <w:szCs w:val="24"/>
        </w:rPr>
        <w:t>—</w:t>
      </w:r>
      <w:r w:rsidR="00695BF3" w:rsidRPr="002032A6">
        <w:rPr>
          <w:rFonts w:ascii="Cambria" w:eastAsiaTheme="majorEastAsia" w:hAnsi="Cambria" w:cstheme="majorBidi"/>
          <w:sz w:val="24"/>
          <w:szCs w:val="24"/>
        </w:rPr>
        <w:t xml:space="preserve"> ‘the chemical structure of an individual’s DNA encodes information about that individual’s inherited characteristics</w:t>
      </w:r>
      <w:r w:rsidRPr="002032A6">
        <w:rPr>
          <w:rFonts w:ascii="Cambria" w:eastAsiaTheme="majorEastAsia" w:hAnsi="Cambria" w:cstheme="majorBidi"/>
          <w:sz w:val="24"/>
          <w:szCs w:val="24"/>
        </w:rPr>
        <w:t>.</w:t>
      </w:r>
      <w:r w:rsidR="00262788" w:rsidRPr="002032A6">
        <w:rPr>
          <w:rFonts w:ascii="Cambria" w:eastAsiaTheme="majorEastAsia" w:hAnsi="Cambria" w:cstheme="majorBidi"/>
          <w:sz w:val="24"/>
          <w:szCs w:val="24"/>
        </w:rPr>
        <w:t>’</w:t>
      </w:r>
      <w:r w:rsidR="00695BF3" w:rsidRPr="002032A6">
        <w:rPr>
          <w:rStyle w:val="FootnoteReference"/>
          <w:rFonts w:ascii="Cambria" w:eastAsiaTheme="majorEastAsia" w:hAnsi="Cambria" w:cstheme="majorBidi"/>
          <w:sz w:val="24"/>
          <w:szCs w:val="24"/>
        </w:rPr>
        <w:footnoteReference w:id="25"/>
      </w:r>
      <w:r w:rsidR="00E04D22" w:rsidRPr="002032A6">
        <w:rPr>
          <w:rFonts w:ascii="Cambria" w:eastAsiaTheme="majorEastAsia" w:hAnsi="Cambria" w:cstheme="majorBidi"/>
          <w:sz w:val="24"/>
          <w:szCs w:val="24"/>
        </w:rPr>
        <w:t xml:space="preserve"> This typing process does not allow police officers to “see” the precise characteristics of a person whose DNA has been located and sampled at a crime scene </w:t>
      </w:r>
      <w:r w:rsidR="001D714B" w:rsidRPr="00B44005">
        <w:rPr>
          <w:rFonts w:ascii="Cambria" w:hAnsi="Cambria"/>
          <w:sz w:val="24"/>
          <w:szCs w:val="24"/>
        </w:rPr>
        <w:t>—</w:t>
      </w:r>
      <w:r w:rsidR="00E04D22" w:rsidRPr="002032A6">
        <w:rPr>
          <w:rFonts w:ascii="Cambria" w:eastAsiaTheme="majorEastAsia" w:hAnsi="Cambria" w:cstheme="majorBidi"/>
          <w:sz w:val="24"/>
          <w:szCs w:val="24"/>
        </w:rPr>
        <w:t xml:space="preserve"> they cannot know if they are looking for someone with brown eyes as opposed to blue eyes. Rather, DNA profiling enables police to make comparisons between other DNA profiles found at a crime scene (for instance, discerning between DNA from the victim and suspects)</w:t>
      </w:r>
      <w:r w:rsidR="00081F32" w:rsidRPr="002032A6">
        <w:rPr>
          <w:rFonts w:ascii="Cambria" w:eastAsiaTheme="majorEastAsia" w:hAnsi="Cambria" w:cstheme="majorBidi"/>
          <w:sz w:val="24"/>
          <w:szCs w:val="24"/>
        </w:rPr>
        <w:t xml:space="preserve"> and between DNA profiles they have retained</w:t>
      </w:r>
      <w:r w:rsidR="00945411" w:rsidRPr="002032A6">
        <w:rPr>
          <w:rFonts w:ascii="Cambria" w:eastAsiaTheme="majorEastAsia" w:hAnsi="Cambria" w:cstheme="majorBidi"/>
          <w:sz w:val="24"/>
          <w:szCs w:val="24"/>
        </w:rPr>
        <w:t xml:space="preserve"> </w:t>
      </w:r>
      <w:r w:rsidR="00945411" w:rsidRPr="002032A6">
        <w:rPr>
          <w:rFonts w:ascii="Cambria" w:eastAsiaTheme="majorEastAsia" w:hAnsi="Cambria" w:cstheme="majorBidi"/>
          <w:sz w:val="24"/>
          <w:szCs w:val="24"/>
        </w:rPr>
        <w:lastRenderedPageBreak/>
        <w:t>because DNA in a person’s body ‘is identical throughout a human body but variable between any two humans, making it a natural alternative to artificial human identifiers, such as names or tax-file numbers</w:t>
      </w:r>
      <w:r w:rsidR="008560E4" w:rsidRPr="002032A6">
        <w:rPr>
          <w:rFonts w:ascii="Cambria" w:eastAsiaTheme="majorEastAsia" w:hAnsi="Cambria" w:cstheme="majorBidi"/>
          <w:sz w:val="24"/>
          <w:szCs w:val="24"/>
        </w:rPr>
        <w:t>.</w:t>
      </w:r>
      <w:r w:rsidR="0072733D" w:rsidRPr="002032A6">
        <w:rPr>
          <w:rFonts w:ascii="Cambria" w:eastAsiaTheme="majorEastAsia" w:hAnsi="Cambria" w:cstheme="majorBidi"/>
          <w:sz w:val="24"/>
          <w:szCs w:val="24"/>
        </w:rPr>
        <w:t>’</w:t>
      </w:r>
      <w:r w:rsidR="0072733D" w:rsidRPr="002032A6">
        <w:rPr>
          <w:rStyle w:val="FootnoteReference"/>
          <w:rFonts w:ascii="Cambria" w:eastAsiaTheme="majorEastAsia" w:hAnsi="Cambria" w:cstheme="majorBidi"/>
          <w:sz w:val="24"/>
          <w:szCs w:val="24"/>
        </w:rPr>
        <w:footnoteReference w:id="26"/>
      </w:r>
      <w:r w:rsidR="00E04D22" w:rsidRPr="002032A6">
        <w:rPr>
          <w:rFonts w:ascii="Cambria" w:eastAsiaTheme="majorEastAsia" w:hAnsi="Cambria" w:cstheme="majorBidi"/>
          <w:sz w:val="24"/>
          <w:szCs w:val="24"/>
        </w:rPr>
        <w:t xml:space="preserve"> </w:t>
      </w:r>
      <w:r w:rsidR="004E24CF" w:rsidRPr="002032A6">
        <w:rPr>
          <w:rFonts w:ascii="Cambria" w:eastAsiaTheme="majorEastAsia" w:hAnsi="Cambria" w:cstheme="majorBidi"/>
          <w:sz w:val="24"/>
          <w:szCs w:val="24"/>
        </w:rPr>
        <w:t xml:space="preserve">This means that </w:t>
      </w:r>
      <w:r w:rsidR="00A360D2" w:rsidRPr="002032A6">
        <w:rPr>
          <w:rFonts w:ascii="Cambria" w:eastAsiaTheme="majorEastAsia" w:hAnsi="Cambria" w:cstheme="majorBidi"/>
          <w:sz w:val="24"/>
          <w:szCs w:val="24"/>
        </w:rPr>
        <w:t>DNA profiling has ‘become the “gold standard for identification”’</w:t>
      </w:r>
      <w:r w:rsidR="008F52EE" w:rsidRPr="002032A6">
        <w:rPr>
          <w:rFonts w:ascii="Cambria" w:eastAsiaTheme="majorEastAsia" w:hAnsi="Cambria" w:cstheme="majorBidi"/>
          <w:sz w:val="24"/>
          <w:szCs w:val="24"/>
        </w:rPr>
        <w:t>,</w:t>
      </w:r>
      <w:r w:rsidR="00A360D2" w:rsidRPr="002032A6">
        <w:rPr>
          <w:rStyle w:val="FootnoteReference"/>
          <w:rFonts w:ascii="Cambria" w:eastAsiaTheme="majorEastAsia" w:hAnsi="Cambria" w:cstheme="majorBidi"/>
          <w:sz w:val="24"/>
          <w:szCs w:val="24"/>
        </w:rPr>
        <w:footnoteReference w:id="27"/>
      </w:r>
      <w:r w:rsidR="00A34CEE" w:rsidRPr="002032A6">
        <w:rPr>
          <w:rFonts w:ascii="Cambria" w:eastAsiaTheme="majorEastAsia" w:hAnsi="Cambria" w:cstheme="majorBidi"/>
          <w:sz w:val="24"/>
          <w:szCs w:val="24"/>
        </w:rPr>
        <w:t xml:space="preserve"> and is now a routine part of police criminal investigation work.</w:t>
      </w:r>
      <w:r w:rsidR="00A360D2" w:rsidRPr="002032A6">
        <w:rPr>
          <w:rFonts w:ascii="Cambria" w:eastAsiaTheme="majorEastAsia" w:hAnsi="Cambria" w:cstheme="majorBidi"/>
          <w:sz w:val="24"/>
          <w:szCs w:val="24"/>
        </w:rPr>
        <w:t xml:space="preserve"> </w:t>
      </w:r>
      <w:r w:rsidRPr="002032A6">
        <w:rPr>
          <w:rFonts w:ascii="Cambria" w:eastAsiaTheme="majorEastAsia" w:hAnsi="Cambria" w:cstheme="majorBidi"/>
          <w:sz w:val="24"/>
          <w:szCs w:val="24"/>
        </w:rPr>
        <w:t>While people who are biologically related share elements of their DNA structure with other biological relatives, a DNA structure is unique in every human being</w:t>
      </w:r>
      <w:r w:rsidR="008560E4" w:rsidRPr="002032A6">
        <w:rPr>
          <w:rFonts w:ascii="Cambria" w:eastAsiaTheme="majorEastAsia" w:hAnsi="Cambria" w:cstheme="majorBidi"/>
          <w:sz w:val="24"/>
          <w:szCs w:val="24"/>
        </w:rPr>
        <w:t xml:space="preserve"> with the exception of ‘identical twins, who develop from a single fertilised cell and hence have identical nuclear DNA.’</w:t>
      </w:r>
      <w:r w:rsidR="008560E4" w:rsidRPr="002032A6">
        <w:rPr>
          <w:rStyle w:val="FootnoteReference"/>
          <w:rFonts w:ascii="Cambria" w:eastAsiaTheme="majorEastAsia" w:hAnsi="Cambria" w:cstheme="majorBidi"/>
          <w:sz w:val="24"/>
          <w:szCs w:val="24"/>
        </w:rPr>
        <w:footnoteReference w:id="28"/>
      </w:r>
      <w:r w:rsidRPr="002032A6">
        <w:rPr>
          <w:rFonts w:ascii="Cambria" w:eastAsiaTheme="majorEastAsia" w:hAnsi="Cambria" w:cstheme="majorBidi"/>
          <w:sz w:val="24"/>
          <w:szCs w:val="24"/>
        </w:rPr>
        <w:t xml:space="preserve"> When such fluids and tissues are found at a crime scene, an individual’s DNA profile is collected</w:t>
      </w:r>
      <w:r w:rsidR="001656C9" w:rsidRPr="002032A6">
        <w:rPr>
          <w:rFonts w:ascii="Cambria" w:eastAsiaTheme="majorEastAsia" w:hAnsi="Cambria" w:cstheme="majorBidi"/>
          <w:sz w:val="24"/>
          <w:szCs w:val="24"/>
        </w:rPr>
        <w:t xml:space="preserve"> and</w:t>
      </w:r>
      <w:r w:rsidRPr="002032A6">
        <w:rPr>
          <w:rFonts w:ascii="Cambria" w:eastAsiaTheme="majorEastAsia" w:hAnsi="Cambria" w:cstheme="majorBidi"/>
          <w:sz w:val="24"/>
          <w:szCs w:val="24"/>
        </w:rPr>
        <w:t xml:space="preserve"> analysed</w:t>
      </w:r>
      <w:r w:rsidR="001656C9" w:rsidRPr="002032A6">
        <w:rPr>
          <w:rFonts w:ascii="Cambria" w:eastAsiaTheme="majorEastAsia" w:hAnsi="Cambria" w:cstheme="majorBidi"/>
          <w:sz w:val="24"/>
          <w:szCs w:val="24"/>
        </w:rPr>
        <w:t xml:space="preserve"> in addition to a range of other evidence to determine suspects involved in an offence.</w:t>
      </w:r>
    </w:p>
    <w:p w14:paraId="35697047" w14:textId="41A63096" w:rsidR="00E956E7" w:rsidRPr="00C74A2C" w:rsidRDefault="001656C9" w:rsidP="72A6D696">
      <w:pPr>
        <w:spacing w:line="360" w:lineRule="auto"/>
        <w:jc w:val="both"/>
        <w:rPr>
          <w:rFonts w:ascii="Cambria" w:eastAsiaTheme="majorEastAsia" w:hAnsi="Cambria" w:cstheme="majorBidi"/>
          <w:sz w:val="24"/>
          <w:szCs w:val="24"/>
        </w:rPr>
      </w:pPr>
      <w:r w:rsidRPr="002032A6">
        <w:rPr>
          <w:rFonts w:ascii="Cambria" w:eastAsiaTheme="majorEastAsia" w:hAnsi="Cambria" w:cstheme="majorBidi"/>
          <w:sz w:val="24"/>
          <w:szCs w:val="24"/>
        </w:rPr>
        <w:t>These processes in police work have now moved beyond simply identifying suspects in a case as more and more police organisations have the technological capacity ‘to construct digital representations of profiles and store them in continuously searchable computerized databases’</w:t>
      </w:r>
      <w:r w:rsidR="008F52EE" w:rsidRPr="002032A6">
        <w:rPr>
          <w:rFonts w:ascii="Cambria" w:eastAsiaTheme="majorEastAsia" w:hAnsi="Cambria" w:cstheme="majorBidi"/>
          <w:sz w:val="24"/>
          <w:szCs w:val="24"/>
        </w:rPr>
        <w:t>,</w:t>
      </w:r>
      <w:r w:rsidRPr="00C74A2C">
        <w:rPr>
          <w:rStyle w:val="FootnoteReference"/>
          <w:rFonts w:ascii="Cambria" w:eastAsiaTheme="majorEastAsia" w:hAnsi="Cambria" w:cstheme="majorBidi"/>
          <w:sz w:val="24"/>
          <w:szCs w:val="24"/>
        </w:rPr>
        <w:footnoteReference w:id="29"/>
      </w:r>
      <w:r w:rsidRPr="00C74A2C">
        <w:rPr>
          <w:rFonts w:ascii="Cambria" w:eastAsiaTheme="majorEastAsia" w:hAnsi="Cambria" w:cstheme="majorBidi"/>
          <w:sz w:val="24"/>
          <w:szCs w:val="24"/>
        </w:rPr>
        <w:t xml:space="preserve"> </w:t>
      </w:r>
      <w:r w:rsidR="002073D3" w:rsidRPr="00C74A2C">
        <w:rPr>
          <w:rFonts w:ascii="Cambria" w:eastAsiaTheme="majorEastAsia" w:hAnsi="Cambria" w:cstheme="majorBidi"/>
          <w:sz w:val="24"/>
          <w:szCs w:val="24"/>
        </w:rPr>
        <w:t>and retained in a database for the purposes of police investigative processes.</w:t>
      </w:r>
      <w:r w:rsidR="002073D3" w:rsidRPr="00C74A2C">
        <w:rPr>
          <w:rFonts w:ascii="Cambria" w:eastAsiaTheme="majorEastAsia" w:hAnsi="Cambria" w:cstheme="majorBidi"/>
          <w:sz w:val="24"/>
          <w:szCs w:val="24"/>
          <w:vertAlign w:val="superscript"/>
        </w:rPr>
        <w:footnoteReference w:id="30"/>
      </w:r>
      <w:r w:rsidRPr="00C74A2C">
        <w:rPr>
          <w:rFonts w:ascii="Cambria" w:eastAsiaTheme="majorEastAsia" w:hAnsi="Cambria" w:cstheme="majorBidi"/>
          <w:sz w:val="24"/>
          <w:szCs w:val="24"/>
        </w:rPr>
        <w:t xml:space="preserve"> </w:t>
      </w:r>
      <w:r w:rsidR="006A7E23" w:rsidRPr="00C74A2C">
        <w:rPr>
          <w:rFonts w:ascii="Cambria" w:eastAsiaTheme="majorEastAsia" w:hAnsi="Cambria" w:cstheme="majorBidi"/>
          <w:sz w:val="24"/>
          <w:szCs w:val="24"/>
        </w:rPr>
        <w:t>This is called a DNA database and they can be searched by police to find matches between forensic sample</w:t>
      </w:r>
      <w:r w:rsidR="00565F40" w:rsidRPr="00C74A2C">
        <w:rPr>
          <w:rFonts w:ascii="Cambria" w:eastAsiaTheme="majorEastAsia" w:hAnsi="Cambria" w:cstheme="majorBidi"/>
          <w:sz w:val="24"/>
          <w:szCs w:val="24"/>
        </w:rPr>
        <w:t>s they have collected</w:t>
      </w:r>
      <w:r w:rsidR="0072733D" w:rsidRPr="00C74A2C">
        <w:rPr>
          <w:rFonts w:ascii="Cambria" w:eastAsiaTheme="majorEastAsia" w:hAnsi="Cambria" w:cstheme="majorBidi"/>
          <w:sz w:val="24"/>
          <w:szCs w:val="24"/>
        </w:rPr>
        <w:t xml:space="preserve"> at a crime scene or from a victim,</w:t>
      </w:r>
      <w:r w:rsidR="00565F40" w:rsidRPr="00C74A2C">
        <w:rPr>
          <w:rFonts w:ascii="Cambria" w:eastAsiaTheme="majorEastAsia" w:hAnsi="Cambria" w:cstheme="majorBidi"/>
          <w:sz w:val="24"/>
          <w:szCs w:val="24"/>
        </w:rPr>
        <w:t xml:space="preserve"> and the DNA they have profiled and retained </w:t>
      </w:r>
      <w:r w:rsidR="0072733D" w:rsidRPr="00C74A2C">
        <w:rPr>
          <w:rFonts w:ascii="Cambria" w:eastAsiaTheme="majorEastAsia" w:hAnsi="Cambria" w:cstheme="majorBidi"/>
          <w:sz w:val="24"/>
          <w:szCs w:val="24"/>
        </w:rPr>
        <w:t xml:space="preserve">as </w:t>
      </w:r>
      <w:r w:rsidR="00565F40" w:rsidRPr="00C74A2C">
        <w:rPr>
          <w:rFonts w:ascii="Cambria" w:eastAsiaTheme="majorEastAsia" w:hAnsi="Cambria" w:cstheme="majorBidi"/>
          <w:sz w:val="24"/>
          <w:szCs w:val="24"/>
        </w:rPr>
        <w:t>digitised DNA profiles</w:t>
      </w:r>
      <w:r w:rsidR="00C74A2C">
        <w:rPr>
          <w:rFonts w:ascii="Cambria" w:eastAsiaTheme="majorEastAsia" w:hAnsi="Cambria" w:cstheme="majorBidi"/>
          <w:sz w:val="24"/>
          <w:szCs w:val="24"/>
        </w:rPr>
        <w:t>.</w:t>
      </w:r>
    </w:p>
    <w:p w14:paraId="305EB107" w14:textId="3A54AD2D" w:rsidR="00555173" w:rsidRPr="00C74A2C" w:rsidRDefault="002109D4" w:rsidP="0009255C">
      <w:pPr>
        <w:spacing w:before="360" w:line="360" w:lineRule="auto"/>
        <w:jc w:val="center"/>
        <w:rPr>
          <w:rFonts w:ascii="Cambria" w:eastAsiaTheme="majorEastAsia" w:hAnsi="Cambria" w:cstheme="majorBidi"/>
          <w:sz w:val="24"/>
          <w:szCs w:val="24"/>
        </w:rPr>
      </w:pPr>
      <w:r>
        <w:rPr>
          <w:rFonts w:ascii="Cambria" w:eastAsiaTheme="majorEastAsia" w:hAnsi="Cambria" w:cstheme="majorBidi"/>
          <w:smallCaps/>
          <w:sz w:val="24"/>
          <w:szCs w:val="24"/>
        </w:rPr>
        <w:t xml:space="preserve">III </w:t>
      </w:r>
      <w:r w:rsidR="00B4177F" w:rsidRPr="00C74A2C">
        <w:rPr>
          <w:rFonts w:ascii="Cambria" w:eastAsiaTheme="majorEastAsia" w:hAnsi="Cambria" w:cstheme="majorBidi"/>
          <w:smallCaps/>
          <w:sz w:val="24"/>
          <w:szCs w:val="24"/>
        </w:rPr>
        <w:t xml:space="preserve">Elaborating the issues through a case study: forensic practices, DNA </w:t>
      </w:r>
      <w:proofErr w:type="spellStart"/>
      <w:r w:rsidR="00B4177F" w:rsidRPr="00C74A2C">
        <w:rPr>
          <w:rFonts w:ascii="Cambria" w:eastAsiaTheme="majorEastAsia" w:hAnsi="Cambria" w:cstheme="majorBidi"/>
          <w:smallCaps/>
          <w:sz w:val="24"/>
          <w:szCs w:val="24"/>
        </w:rPr>
        <w:t>databasing</w:t>
      </w:r>
      <w:proofErr w:type="spellEnd"/>
      <w:r w:rsidR="00B4177F" w:rsidRPr="00C74A2C">
        <w:rPr>
          <w:rFonts w:ascii="Cambria" w:eastAsiaTheme="majorEastAsia" w:hAnsi="Cambria" w:cstheme="majorBidi"/>
          <w:smallCaps/>
          <w:sz w:val="24"/>
          <w:szCs w:val="24"/>
        </w:rPr>
        <w:t xml:space="preserve">, young offenders and the </w:t>
      </w:r>
      <w:r w:rsidR="00B4177F" w:rsidRPr="00C74A2C">
        <w:rPr>
          <w:rFonts w:ascii="Cambria" w:eastAsiaTheme="majorEastAsia" w:hAnsi="Cambria" w:cstheme="majorBidi"/>
          <w:i/>
          <w:smallCaps/>
          <w:sz w:val="24"/>
          <w:szCs w:val="24"/>
        </w:rPr>
        <w:t xml:space="preserve">Police Powers and </w:t>
      </w:r>
      <w:r w:rsidR="00D6526F" w:rsidRPr="00C74A2C">
        <w:rPr>
          <w:rFonts w:ascii="Cambria" w:eastAsiaTheme="majorEastAsia" w:hAnsi="Cambria" w:cstheme="majorBidi"/>
          <w:i/>
          <w:smallCaps/>
          <w:sz w:val="24"/>
          <w:szCs w:val="24"/>
        </w:rPr>
        <w:t>Responsibilities</w:t>
      </w:r>
      <w:r w:rsidR="00B4177F" w:rsidRPr="00C74A2C">
        <w:rPr>
          <w:rFonts w:ascii="Cambria" w:eastAsiaTheme="majorEastAsia" w:hAnsi="Cambria" w:cstheme="majorBidi"/>
          <w:i/>
          <w:smallCaps/>
          <w:sz w:val="24"/>
          <w:szCs w:val="24"/>
        </w:rPr>
        <w:t xml:space="preserve"> Act 2000 </w:t>
      </w:r>
      <w:r w:rsidR="001D714B">
        <w:rPr>
          <w:rFonts w:ascii="Cambria" w:eastAsiaTheme="majorEastAsia" w:hAnsi="Cambria" w:cstheme="majorBidi"/>
          <w:smallCaps/>
          <w:sz w:val="24"/>
          <w:szCs w:val="24"/>
        </w:rPr>
        <w:t>(</w:t>
      </w:r>
      <w:r w:rsidR="00B4177F" w:rsidRPr="0047622D">
        <w:rPr>
          <w:rFonts w:ascii="Cambria" w:eastAsiaTheme="majorEastAsia" w:hAnsi="Cambria" w:cstheme="majorBidi"/>
          <w:smallCaps/>
          <w:sz w:val="24"/>
          <w:szCs w:val="24"/>
        </w:rPr>
        <w:t>Qld</w:t>
      </w:r>
      <w:r w:rsidR="001D714B">
        <w:rPr>
          <w:rFonts w:ascii="Cambria" w:eastAsiaTheme="majorEastAsia" w:hAnsi="Cambria" w:cstheme="majorBidi"/>
          <w:smallCaps/>
          <w:sz w:val="24"/>
          <w:szCs w:val="24"/>
        </w:rPr>
        <w:t>)</w:t>
      </w:r>
    </w:p>
    <w:p w14:paraId="2B29A6B3" w14:textId="262ADBA1" w:rsidR="002109D4" w:rsidRPr="00CF18DC" w:rsidRDefault="00FE6CDA" w:rsidP="00CF18DC">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To examine the issues raised through these processes specifically in relation to young people, we now analyse sections of the</w:t>
      </w:r>
      <w:r w:rsidR="001D714B">
        <w:rPr>
          <w:rFonts w:ascii="Cambria" w:eastAsiaTheme="majorEastAsia" w:hAnsi="Cambria" w:cstheme="majorBidi"/>
          <w:sz w:val="24"/>
          <w:szCs w:val="24"/>
        </w:rPr>
        <w:t xml:space="preserve"> PPRA QLD</w:t>
      </w:r>
      <w:r w:rsidR="00D6526F" w:rsidRPr="00C74A2C">
        <w:rPr>
          <w:rFonts w:ascii="Cambria" w:eastAsiaTheme="majorEastAsia" w:hAnsi="Cambria" w:cstheme="majorBidi"/>
          <w:i/>
          <w:sz w:val="24"/>
          <w:szCs w:val="24"/>
        </w:rPr>
        <w:t>,</w:t>
      </w:r>
      <w:r w:rsidRPr="00C74A2C">
        <w:rPr>
          <w:rFonts w:ascii="Cambria" w:eastAsiaTheme="majorEastAsia" w:hAnsi="Cambria" w:cstheme="majorBidi"/>
          <w:i/>
          <w:sz w:val="24"/>
          <w:szCs w:val="24"/>
        </w:rPr>
        <w:t xml:space="preserve"> </w:t>
      </w:r>
      <w:r w:rsidRPr="00C74A2C">
        <w:rPr>
          <w:rFonts w:ascii="Cambria" w:eastAsiaTheme="majorEastAsia" w:hAnsi="Cambria" w:cstheme="majorBidi"/>
          <w:sz w:val="24"/>
          <w:szCs w:val="24"/>
        </w:rPr>
        <w:t>and other related legislative frameworks. This legislation raises a whole range of ethical and human rights issues when dealing with young people in criminal processing systems.</w:t>
      </w:r>
    </w:p>
    <w:p w14:paraId="13915AF8" w14:textId="3D3DE9B8" w:rsidR="001D714B" w:rsidRDefault="001D714B" w:rsidP="00671A38">
      <w:pPr>
        <w:spacing w:line="360" w:lineRule="auto"/>
        <w:jc w:val="center"/>
        <w:outlineLvl w:val="0"/>
        <w:rPr>
          <w:rFonts w:ascii="Cambria" w:hAnsi="Cambria"/>
          <w:i/>
          <w:sz w:val="24"/>
          <w:szCs w:val="24"/>
        </w:rPr>
      </w:pPr>
      <w:bookmarkStart w:id="4" w:name="_Toc343462528"/>
      <w:r w:rsidRPr="00864583">
        <w:rPr>
          <w:rFonts w:ascii="Cambria" w:eastAsia="MS Gothic" w:hAnsi="Cambria"/>
          <w:bCs/>
          <w:noProof/>
          <w:sz w:val="24"/>
          <w:szCs w:val="24"/>
          <w:lang w:eastAsia="en-AU"/>
        </w:rPr>
        <w:t xml:space="preserve">A </w:t>
      </w:r>
      <w:bookmarkEnd w:id="4"/>
      <w:r>
        <w:rPr>
          <w:rFonts w:ascii="Cambria" w:eastAsia="MS Gothic" w:hAnsi="Cambria"/>
          <w:bCs/>
          <w:i/>
          <w:noProof/>
          <w:sz w:val="24"/>
          <w:szCs w:val="24"/>
          <w:lang w:eastAsia="en-AU"/>
        </w:rPr>
        <w:t>What Issues Are Raised Around Forensic Procedures with Young People?</w:t>
      </w:r>
    </w:p>
    <w:p w14:paraId="58953EC7" w14:textId="236A58E8" w:rsidR="00F4509E" w:rsidRPr="00C74A2C" w:rsidRDefault="00F4509E" w:rsidP="0009255C">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lastRenderedPageBreak/>
        <w:t>According to the PPRA QLD, there is a difference between intimate and non-intimate forensic procedures. Intimate forensic procedures are defined as:</w:t>
      </w:r>
    </w:p>
    <w:p w14:paraId="3324B980" w14:textId="5187E7CD"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all or any of the following procedures—</w:t>
      </w:r>
    </w:p>
    <w:p w14:paraId="22ED382C" w14:textId="77777777" w:rsidR="00F4509E" w:rsidRPr="0047622D" w:rsidRDefault="00F4509E" w:rsidP="00671A38">
      <w:pPr>
        <w:ind w:left="709" w:right="567"/>
        <w:outlineLvl w:val="0"/>
        <w:rPr>
          <w:rFonts w:ascii="Cambria" w:eastAsia="Times New Roman" w:hAnsi="Cambria" w:cs="Times New Roman"/>
          <w:color w:val="000000"/>
          <w:lang w:val="en-GB"/>
        </w:rPr>
      </w:pPr>
      <w:r w:rsidRPr="0047622D">
        <w:rPr>
          <w:rFonts w:ascii="Cambria" w:eastAsia="Times New Roman" w:hAnsi="Cambria" w:cs="Times New Roman"/>
          <w:color w:val="000000"/>
          <w:lang w:val="en-GB"/>
        </w:rPr>
        <w:t>(</w:t>
      </w:r>
      <w:proofErr w:type="spellStart"/>
      <w:r w:rsidRPr="0047622D">
        <w:rPr>
          <w:rFonts w:ascii="Cambria" w:eastAsia="Times New Roman" w:hAnsi="Cambria" w:cs="Times New Roman"/>
          <w:color w:val="000000"/>
          <w:lang w:val="en-GB"/>
        </w:rPr>
        <w:t>a</w:t>
      </w:r>
      <w:proofErr w:type="spellEnd"/>
      <w:r w:rsidRPr="0047622D">
        <w:rPr>
          <w:rFonts w:ascii="Cambria" w:eastAsia="Times New Roman" w:hAnsi="Cambria" w:cs="Times New Roman"/>
          <w:color w:val="000000"/>
          <w:lang w:val="en-GB"/>
        </w:rPr>
        <w:t xml:space="preserve">) </w:t>
      </w:r>
      <w:proofErr w:type="spellStart"/>
      <w:r w:rsidRPr="0047622D">
        <w:rPr>
          <w:rFonts w:ascii="Cambria" w:eastAsia="Times New Roman" w:hAnsi="Cambria" w:cs="Times New Roman"/>
          <w:color w:val="000000"/>
          <w:lang w:val="en-GB"/>
        </w:rPr>
        <w:t>a</w:t>
      </w:r>
      <w:proofErr w:type="spellEnd"/>
      <w:r w:rsidRPr="0047622D">
        <w:rPr>
          <w:rFonts w:ascii="Cambria" w:eastAsia="Times New Roman" w:hAnsi="Cambria" w:cs="Times New Roman"/>
          <w:color w:val="000000"/>
          <w:lang w:val="en-GB"/>
        </w:rPr>
        <w:t xml:space="preserve"> procedure performed on a person's external genital or anal area, buttocks or, for a female, breasts, that involves—</w:t>
      </w:r>
    </w:p>
    <w:p w14:paraId="0190AD34" w14:textId="77777777" w:rsidR="00F4509E" w:rsidRPr="0047622D" w:rsidRDefault="00F4509E" w:rsidP="001D714B">
      <w:pPr>
        <w:ind w:left="709" w:right="567" w:firstLine="153"/>
        <w:rPr>
          <w:rFonts w:ascii="Cambria" w:eastAsia="Times New Roman" w:hAnsi="Cambria" w:cs="Times New Roman"/>
          <w:color w:val="000000"/>
          <w:lang w:val="en-GB"/>
        </w:rPr>
      </w:pPr>
      <w:r w:rsidRPr="0047622D">
        <w:rPr>
          <w:rFonts w:ascii="Cambria" w:eastAsia="Times New Roman" w:hAnsi="Cambria" w:cs="Times New Roman"/>
          <w:color w:val="000000"/>
          <w:lang w:val="en-GB"/>
        </w:rPr>
        <w:t>(</w:t>
      </w:r>
      <w:proofErr w:type="spellStart"/>
      <w:r w:rsidRPr="0047622D">
        <w:rPr>
          <w:rFonts w:ascii="Cambria" w:eastAsia="Times New Roman" w:hAnsi="Cambria" w:cs="Times New Roman"/>
          <w:color w:val="000000"/>
          <w:lang w:val="en-GB"/>
        </w:rPr>
        <w:t>i</w:t>
      </w:r>
      <w:proofErr w:type="spellEnd"/>
      <w:r w:rsidRPr="0047622D">
        <w:rPr>
          <w:rFonts w:ascii="Cambria" w:eastAsia="Times New Roman" w:hAnsi="Cambria" w:cs="Times New Roman"/>
          <w:color w:val="000000"/>
          <w:lang w:val="en-GB"/>
        </w:rPr>
        <w:t>) an external examination of the relevant part of the body; or</w:t>
      </w:r>
    </w:p>
    <w:p w14:paraId="265166BB"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(ii) taking a sample from the relevant part of the body, by swab, washing, vacuum suction, scraping, or by lifting by tape; or</w:t>
      </w:r>
    </w:p>
    <w:p w14:paraId="1BDEC850" w14:textId="77777777" w:rsidR="00F4509E" w:rsidRPr="0047622D" w:rsidRDefault="00F4509E" w:rsidP="001D714B">
      <w:pPr>
        <w:ind w:left="709" w:right="567" w:firstLine="153"/>
        <w:rPr>
          <w:rFonts w:ascii="Cambria" w:eastAsia="Times New Roman" w:hAnsi="Cambria" w:cs="Times New Roman"/>
          <w:color w:val="000000"/>
          <w:lang w:val="en-GB"/>
        </w:rPr>
      </w:pPr>
      <w:r w:rsidRPr="0047622D">
        <w:rPr>
          <w:rFonts w:ascii="Cambria" w:eastAsia="Times New Roman" w:hAnsi="Cambria" w:cs="Times New Roman"/>
          <w:color w:val="000000"/>
          <w:lang w:val="en-GB"/>
        </w:rPr>
        <w:t>(iii) photographing the relevant part of the body; or</w:t>
      </w:r>
    </w:p>
    <w:p w14:paraId="4CB762C4"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(iv) making an impression or cast from the relevant part of the body; or</w:t>
      </w:r>
    </w:p>
    <w:p w14:paraId="3254D627"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(v) measuring the relevant part of the body;</w:t>
      </w:r>
    </w:p>
    <w:p w14:paraId="7BA86956" w14:textId="77777777" w:rsidR="00F4509E" w:rsidRPr="0047622D" w:rsidRDefault="00F4509E" w:rsidP="00671A38">
      <w:pPr>
        <w:ind w:left="709" w:right="567"/>
        <w:outlineLvl w:val="0"/>
        <w:rPr>
          <w:rFonts w:ascii="Cambria" w:eastAsia="Times New Roman" w:hAnsi="Cambria" w:cs="Times New Roman"/>
          <w:color w:val="000000"/>
          <w:lang w:val="en-GB"/>
        </w:rPr>
      </w:pPr>
      <w:r w:rsidRPr="0047622D">
        <w:rPr>
          <w:rFonts w:ascii="Cambria" w:eastAsia="Times New Roman" w:hAnsi="Cambria" w:cs="Times New Roman"/>
          <w:color w:val="000000"/>
          <w:lang w:val="en-GB"/>
        </w:rPr>
        <w:t>(b) a procedure performed on a person that involves—</w:t>
      </w:r>
    </w:p>
    <w:p w14:paraId="06DDF9EA"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w:t>
      </w:r>
      <w:proofErr w:type="spellStart"/>
      <w:r w:rsidRPr="0047622D">
        <w:rPr>
          <w:rFonts w:ascii="Cambria" w:eastAsia="Times New Roman" w:hAnsi="Cambria" w:cs="Times New Roman"/>
          <w:color w:val="000000"/>
          <w:lang w:val="en-GB"/>
        </w:rPr>
        <w:t>i</w:t>
      </w:r>
      <w:proofErr w:type="spellEnd"/>
      <w:r w:rsidRPr="0047622D">
        <w:rPr>
          <w:rFonts w:ascii="Cambria" w:eastAsia="Times New Roman" w:hAnsi="Cambria" w:cs="Times New Roman"/>
          <w:color w:val="000000"/>
          <w:lang w:val="en-GB"/>
        </w:rPr>
        <w:t>) an internal examination of a body cavity; or</w:t>
      </w:r>
    </w:p>
    <w:p w14:paraId="0CC92841"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(ii) taking a sample of the person's hair from—</w:t>
      </w:r>
    </w:p>
    <w:p w14:paraId="1C19F977" w14:textId="77777777" w:rsidR="00F4509E" w:rsidRPr="0047622D" w:rsidRDefault="00F4509E" w:rsidP="001D714B">
      <w:pPr>
        <w:ind w:left="709" w:right="567" w:firstLine="153"/>
        <w:rPr>
          <w:rFonts w:ascii="Cambria" w:eastAsia="Times New Roman" w:hAnsi="Cambria" w:cs="Times New Roman"/>
          <w:color w:val="000000"/>
          <w:lang w:val="en-GB"/>
        </w:rPr>
      </w:pPr>
      <w:r w:rsidRPr="0047622D">
        <w:rPr>
          <w:rFonts w:ascii="Cambria" w:eastAsia="Times New Roman" w:hAnsi="Cambria" w:cs="Times New Roman"/>
          <w:color w:val="000000"/>
          <w:lang w:val="en-GB"/>
        </w:rPr>
        <w:t>(A) the genital or anal area; or</w:t>
      </w:r>
    </w:p>
    <w:p w14:paraId="2B841862" w14:textId="77777777" w:rsidR="00F4509E" w:rsidRPr="0047622D" w:rsidRDefault="00F4509E" w:rsidP="001D714B">
      <w:pPr>
        <w:ind w:left="709" w:right="567" w:firstLine="153"/>
        <w:rPr>
          <w:rFonts w:ascii="Cambria" w:eastAsia="Times New Roman" w:hAnsi="Cambria" w:cs="Times New Roman"/>
          <w:color w:val="000000"/>
          <w:lang w:val="en-GB"/>
        </w:rPr>
      </w:pPr>
      <w:r w:rsidRPr="0047622D">
        <w:rPr>
          <w:rFonts w:ascii="Cambria" w:eastAsia="Times New Roman" w:hAnsi="Cambria" w:cs="Times New Roman"/>
          <w:color w:val="000000"/>
          <w:lang w:val="en-GB"/>
        </w:rPr>
        <w:t>(B) the buttocks; or</w:t>
      </w:r>
    </w:p>
    <w:p w14:paraId="05A82C64" w14:textId="77777777" w:rsidR="00F4509E" w:rsidRPr="0047622D" w:rsidRDefault="00F4509E" w:rsidP="001D714B">
      <w:pPr>
        <w:ind w:left="709" w:right="567" w:firstLine="153"/>
        <w:rPr>
          <w:rFonts w:ascii="Cambria" w:eastAsia="Times New Roman" w:hAnsi="Cambria" w:cs="Times New Roman"/>
          <w:color w:val="000000"/>
          <w:lang w:val="en-GB"/>
        </w:rPr>
      </w:pPr>
      <w:r w:rsidRPr="0047622D">
        <w:rPr>
          <w:rFonts w:ascii="Cambria" w:eastAsia="Times New Roman" w:hAnsi="Cambria" w:cs="Times New Roman"/>
          <w:color w:val="000000"/>
          <w:lang w:val="en-GB"/>
        </w:rPr>
        <w:t>(C) if the person is a female—the breasts; or</w:t>
      </w:r>
    </w:p>
    <w:p w14:paraId="1FBBA211"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(iii) taking a sample, by swab or washing, from a body cavity other than the mouth; or</w:t>
      </w:r>
    </w:p>
    <w:p w14:paraId="7C452051"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(iv) removing a substance or thing from a body cavity other than the mouth; or</w:t>
      </w:r>
    </w:p>
    <w:p w14:paraId="02F5C1D5"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(v) taking an X-ray of a part of the person's body; or</w:t>
      </w:r>
    </w:p>
    <w:p w14:paraId="2919CC57"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(vi) taking a dental impression; or</w:t>
      </w:r>
    </w:p>
    <w:p w14:paraId="52F88746" w14:textId="2B5A34B4" w:rsidR="00F4509E" w:rsidRPr="0009255C" w:rsidRDefault="00F4509E" w:rsidP="001D714B">
      <w:pPr>
        <w:spacing w:line="360" w:lineRule="auto"/>
        <w:ind w:left="709" w:right="567"/>
        <w:jc w:val="both"/>
        <w:rPr>
          <w:rFonts w:ascii="Cambria" w:eastAsiaTheme="majorEastAsia" w:hAnsi="Cambria" w:cstheme="majorBidi"/>
          <w:sz w:val="24"/>
          <w:szCs w:val="24"/>
        </w:rPr>
      </w:pPr>
      <w:r w:rsidRPr="0047622D">
        <w:rPr>
          <w:rFonts w:ascii="Cambria" w:eastAsia="Times New Roman" w:hAnsi="Cambria" w:cs="Times New Roman"/>
          <w:color w:val="000000"/>
          <w:lang w:val="en-GB"/>
        </w:rPr>
        <w:t>(vii) taking a sample of the person's blood or urine.</w:t>
      </w:r>
      <w:r w:rsidR="009939FB" w:rsidRPr="0047622D">
        <w:rPr>
          <w:rStyle w:val="FootnoteReference"/>
          <w:rFonts w:ascii="Cambria" w:eastAsia="Times New Roman" w:hAnsi="Cambria" w:cs="Times New Roman"/>
          <w:color w:val="000000"/>
          <w:lang w:val="en-GB"/>
        </w:rPr>
        <w:footnoteReference w:id="31"/>
      </w:r>
    </w:p>
    <w:p w14:paraId="098E9AA5" w14:textId="55014985" w:rsidR="0072733D" w:rsidRPr="0009255C" w:rsidRDefault="00242EB8" w:rsidP="72A6D696">
      <w:pPr>
        <w:spacing w:line="360" w:lineRule="auto"/>
        <w:jc w:val="both"/>
        <w:rPr>
          <w:rFonts w:ascii="Cambria" w:eastAsiaTheme="majorEastAsia" w:hAnsi="Cambria" w:cstheme="majorBidi"/>
          <w:sz w:val="24"/>
          <w:szCs w:val="24"/>
        </w:rPr>
      </w:pPr>
      <w:r w:rsidRPr="0009255C">
        <w:rPr>
          <w:rFonts w:ascii="Cambria" w:eastAsiaTheme="majorEastAsia" w:hAnsi="Cambria" w:cstheme="majorBidi"/>
          <w:sz w:val="24"/>
          <w:szCs w:val="24"/>
        </w:rPr>
        <w:t>There is no doubt that these procedures are intimate and that they would be considered invasive to a person’s privacy</w:t>
      </w:r>
      <w:r w:rsidR="00EB4CCA" w:rsidRPr="0009255C">
        <w:rPr>
          <w:rFonts w:ascii="Cambria" w:eastAsiaTheme="majorEastAsia" w:hAnsi="Cambria" w:cstheme="majorBidi"/>
          <w:sz w:val="24"/>
          <w:szCs w:val="24"/>
        </w:rPr>
        <w:t xml:space="preserve"> and to a person’s body. </w:t>
      </w:r>
      <w:r w:rsidR="00F4509E" w:rsidRPr="0009255C">
        <w:rPr>
          <w:rFonts w:ascii="Cambria" w:eastAsiaTheme="majorEastAsia" w:hAnsi="Cambria" w:cstheme="majorBidi"/>
          <w:sz w:val="24"/>
          <w:szCs w:val="24"/>
        </w:rPr>
        <w:t>Interestingly, the definition of a non-intimate forensic procedure is not hugely different</w:t>
      </w:r>
      <w:r w:rsidR="003A7C7B" w:rsidRPr="0009255C">
        <w:rPr>
          <w:rFonts w:ascii="Cambria" w:eastAsiaTheme="majorEastAsia" w:hAnsi="Cambria" w:cstheme="majorBidi"/>
          <w:sz w:val="24"/>
          <w:szCs w:val="24"/>
        </w:rPr>
        <w:t>. While these procedures are perhaps less intimate in terms of the areas of the body they focus on, they still require access to intimate parts of the body and invasive procedures</w:t>
      </w:r>
      <w:r w:rsidR="00826BB6" w:rsidRPr="0009255C">
        <w:rPr>
          <w:rFonts w:ascii="Cambria" w:eastAsiaTheme="majorEastAsia" w:hAnsi="Cambria" w:cstheme="majorBidi"/>
          <w:sz w:val="24"/>
          <w:szCs w:val="24"/>
        </w:rPr>
        <w:t xml:space="preserve"> to a person’s body</w:t>
      </w:r>
      <w:r w:rsidR="00F4509E" w:rsidRPr="0009255C">
        <w:rPr>
          <w:rFonts w:ascii="Cambria" w:eastAsiaTheme="majorEastAsia" w:hAnsi="Cambria" w:cstheme="majorBidi"/>
          <w:sz w:val="24"/>
          <w:szCs w:val="24"/>
        </w:rPr>
        <w:t>:</w:t>
      </w:r>
    </w:p>
    <w:p w14:paraId="1EE2F7F7" w14:textId="19EB7A9A"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lastRenderedPageBreak/>
        <w:t>a procedure performed on a person, other than an intimate forensic procedure, that involves all or any of the following—</w:t>
      </w:r>
    </w:p>
    <w:p w14:paraId="044F8D1C"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w:t>
      </w:r>
      <w:proofErr w:type="spellStart"/>
      <w:r w:rsidRPr="0047622D">
        <w:rPr>
          <w:rFonts w:ascii="Cambria" w:eastAsia="Times New Roman" w:hAnsi="Cambria" w:cs="Times New Roman"/>
          <w:color w:val="000000"/>
          <w:lang w:val="en-GB"/>
        </w:rPr>
        <w:t>a</w:t>
      </w:r>
      <w:proofErr w:type="spellEnd"/>
      <w:r w:rsidRPr="0047622D">
        <w:rPr>
          <w:rFonts w:ascii="Cambria" w:eastAsia="Times New Roman" w:hAnsi="Cambria" w:cs="Times New Roman"/>
          <w:color w:val="000000"/>
          <w:lang w:val="en-GB"/>
        </w:rPr>
        <w:t>) an examination of an external part of the person's body, that requires clothing to be removed or contact with the person's body;</w:t>
      </w:r>
    </w:p>
    <w:p w14:paraId="7AE51E7F"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(b) taking a sample from a part of the person's body, by swab, washing, vacuum suction, scraping, or by lifting by tape;</w:t>
      </w:r>
    </w:p>
    <w:p w14:paraId="42CFD83C"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(c) photographing a part of the person's body;</w:t>
      </w:r>
    </w:p>
    <w:p w14:paraId="3AA7576E"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(d) making an impression or cast of a part of the person's body;</w:t>
      </w:r>
    </w:p>
    <w:p w14:paraId="40D1E470"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(e) taking a DNA sample;</w:t>
      </w:r>
    </w:p>
    <w:p w14:paraId="4F356F7C"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(f) taking a sample of saliva;</w:t>
      </w:r>
    </w:p>
    <w:p w14:paraId="5002B6DF" w14:textId="77777777" w:rsidR="00F4509E" w:rsidRPr="0047622D" w:rsidRDefault="00F4509E" w:rsidP="001D714B">
      <w:pPr>
        <w:ind w:left="709" w:right="567"/>
        <w:rPr>
          <w:rFonts w:ascii="Cambria" w:eastAsia="Times New Roman" w:hAnsi="Cambria" w:cs="Times New Roman"/>
          <w:color w:val="000000"/>
          <w:lang w:val="en-GB"/>
        </w:rPr>
      </w:pPr>
      <w:r w:rsidRPr="0047622D">
        <w:rPr>
          <w:rFonts w:ascii="Cambria" w:eastAsia="Times New Roman" w:hAnsi="Cambria" w:cs="Times New Roman"/>
          <w:color w:val="000000"/>
          <w:lang w:val="en-GB"/>
        </w:rPr>
        <w:t>(g) taking a sample from, or from under, a fingernail or toenail;</w:t>
      </w:r>
    </w:p>
    <w:p w14:paraId="77E7565A" w14:textId="568CA6FA" w:rsidR="00F4509E" w:rsidRPr="0009255C" w:rsidRDefault="00F4509E" w:rsidP="001D714B">
      <w:pPr>
        <w:spacing w:line="360" w:lineRule="auto"/>
        <w:ind w:left="709" w:right="567"/>
        <w:jc w:val="both"/>
        <w:rPr>
          <w:rFonts w:ascii="Cambria" w:eastAsiaTheme="majorEastAsia" w:hAnsi="Cambria" w:cstheme="majorBidi"/>
          <w:sz w:val="24"/>
          <w:szCs w:val="24"/>
        </w:rPr>
      </w:pPr>
      <w:r w:rsidRPr="0047622D">
        <w:rPr>
          <w:rFonts w:ascii="Cambria" w:eastAsia="Times New Roman" w:hAnsi="Cambria" w:cs="Times New Roman"/>
          <w:color w:val="000000"/>
          <w:lang w:val="en-GB"/>
        </w:rPr>
        <w:t>(h) taking identifying particulars</w:t>
      </w:r>
      <w:r w:rsidR="000C0FF1" w:rsidRPr="0047622D">
        <w:rPr>
          <w:rFonts w:ascii="Cambria" w:eastAsia="Times New Roman" w:hAnsi="Cambria" w:cs="Times New Roman"/>
          <w:color w:val="000000"/>
          <w:lang w:val="en-GB"/>
        </w:rPr>
        <w:t>.</w:t>
      </w:r>
      <w:r w:rsidR="009939FB" w:rsidRPr="0047622D">
        <w:rPr>
          <w:rStyle w:val="FootnoteReference"/>
          <w:rFonts w:ascii="Cambria" w:eastAsia="Times New Roman" w:hAnsi="Cambria" w:cs="Times New Roman"/>
          <w:color w:val="000000"/>
          <w:lang w:val="en-GB"/>
        </w:rPr>
        <w:footnoteReference w:id="32"/>
      </w:r>
    </w:p>
    <w:p w14:paraId="4F403587" w14:textId="740ED807" w:rsidR="00D10044" w:rsidRPr="00C74A2C" w:rsidRDefault="00A45321"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Although these definitions raise questions about what it means to be intimate and how invasive these processes are, it is how these procedures consider </w:t>
      </w:r>
      <w:r w:rsidR="00EF09C0" w:rsidRPr="00C74A2C">
        <w:rPr>
          <w:rFonts w:ascii="Cambria" w:eastAsiaTheme="majorEastAsia" w:hAnsi="Cambria" w:cstheme="majorBidi"/>
          <w:sz w:val="24"/>
          <w:szCs w:val="24"/>
        </w:rPr>
        <w:t xml:space="preserve">privacy and </w:t>
      </w:r>
      <w:r w:rsidRPr="00C74A2C">
        <w:rPr>
          <w:rFonts w:ascii="Cambria" w:eastAsiaTheme="majorEastAsia" w:hAnsi="Cambria" w:cstheme="majorBidi"/>
          <w:sz w:val="24"/>
          <w:szCs w:val="24"/>
        </w:rPr>
        <w:t xml:space="preserve">consent that </w:t>
      </w:r>
      <w:r w:rsidR="00EF09C0" w:rsidRPr="00C74A2C">
        <w:rPr>
          <w:rFonts w:ascii="Cambria" w:eastAsiaTheme="majorEastAsia" w:hAnsi="Cambria" w:cstheme="majorBidi"/>
          <w:sz w:val="24"/>
          <w:szCs w:val="24"/>
        </w:rPr>
        <w:t>are</w:t>
      </w:r>
      <w:r w:rsidRPr="00C74A2C">
        <w:rPr>
          <w:rFonts w:ascii="Cambria" w:eastAsiaTheme="majorEastAsia" w:hAnsi="Cambria" w:cstheme="majorBidi"/>
          <w:sz w:val="24"/>
          <w:szCs w:val="24"/>
        </w:rPr>
        <w:t xml:space="preserve"> the focal discussion for this paper.</w:t>
      </w:r>
    </w:p>
    <w:p w14:paraId="6D525C7A" w14:textId="5C92DE8D" w:rsidR="00D10044" w:rsidRPr="00C74A2C" w:rsidRDefault="00EF09C0"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One of the key concerns we raise about forensic procedures with a young person, and this could be a child of at least 14 years or a child under 14 years, is that of privacy. The </w:t>
      </w:r>
      <w:r w:rsidRPr="0047622D">
        <w:rPr>
          <w:rFonts w:ascii="Cambria" w:eastAsiaTheme="majorEastAsia" w:hAnsi="Cambria" w:cstheme="majorBidi"/>
          <w:iCs/>
          <w:sz w:val="24"/>
          <w:szCs w:val="24"/>
        </w:rPr>
        <w:t>PPRA QLD</w:t>
      </w:r>
      <w:r w:rsidRPr="00C74A2C">
        <w:rPr>
          <w:rFonts w:ascii="Cambria" w:eastAsiaTheme="majorEastAsia" w:hAnsi="Cambria" w:cstheme="majorBidi"/>
          <w:sz w:val="24"/>
          <w:szCs w:val="24"/>
        </w:rPr>
        <w:t xml:space="preserve"> notes there are special requirements for children </w:t>
      </w:r>
      <w:r w:rsidR="009346C8" w:rsidRPr="00C74A2C">
        <w:rPr>
          <w:rFonts w:ascii="Cambria" w:eastAsiaTheme="majorEastAsia" w:hAnsi="Cambria" w:cstheme="majorBidi"/>
          <w:sz w:val="24"/>
          <w:szCs w:val="24"/>
        </w:rPr>
        <w:t>in</w:t>
      </w:r>
      <w:r w:rsidRPr="00C74A2C">
        <w:rPr>
          <w:rFonts w:ascii="Cambria" w:eastAsiaTheme="majorEastAsia" w:hAnsi="Cambria" w:cstheme="majorBidi"/>
          <w:sz w:val="24"/>
          <w:szCs w:val="24"/>
        </w:rPr>
        <w:t xml:space="preserve"> Part 2 of Chapter 17 of the Act dealing with Forensic Procedures and obtaining consent for such procedures. Section 450 (4) refers to the consideration for privacy that a child must be given, stating, ‘if it reasonably practicable to do so</w:t>
      </w:r>
      <w:r w:rsidR="000C0FF1"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33"/>
      </w:r>
      <w:r w:rsidRPr="00C74A2C">
        <w:rPr>
          <w:rFonts w:ascii="Cambria" w:eastAsiaTheme="majorEastAsia" w:hAnsi="Cambria" w:cstheme="majorBidi"/>
          <w:sz w:val="24"/>
          <w:szCs w:val="24"/>
        </w:rPr>
        <w:t xml:space="preserve"> It is reasonable to contend that a part of providing a child with ‘special protection’ is to also ensure privacy is guaranteed as a part of procedural fairness. Under </w:t>
      </w:r>
      <w:r w:rsidR="00696E5F">
        <w:rPr>
          <w:rFonts w:ascii="Cambria" w:eastAsiaTheme="majorEastAsia" w:hAnsi="Cambria" w:cstheme="majorBidi"/>
          <w:sz w:val="24"/>
          <w:szCs w:val="24"/>
        </w:rPr>
        <w:t>a</w:t>
      </w:r>
      <w:r w:rsidRPr="00C74A2C">
        <w:rPr>
          <w:rFonts w:ascii="Cambria" w:eastAsiaTheme="majorEastAsia" w:hAnsi="Cambria" w:cstheme="majorBidi"/>
          <w:sz w:val="24"/>
          <w:szCs w:val="24"/>
        </w:rPr>
        <w:t xml:space="preserve">rticle 40 of the </w:t>
      </w:r>
      <w:r w:rsidRPr="00C74A2C">
        <w:rPr>
          <w:rFonts w:ascii="Cambria" w:eastAsiaTheme="majorEastAsia" w:hAnsi="Cambria" w:cstheme="majorBidi"/>
          <w:i/>
          <w:iCs/>
          <w:sz w:val="24"/>
          <w:szCs w:val="24"/>
        </w:rPr>
        <w:t>Convention of the Rights of the Child</w:t>
      </w:r>
      <w:r w:rsidR="00D6526F"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it is stated </w:t>
      </w:r>
      <w:r w:rsidRPr="00696E5F">
        <w:rPr>
          <w:rFonts w:ascii="Cambria" w:eastAsiaTheme="majorEastAsia" w:hAnsi="Cambria" w:cstheme="majorBidi"/>
          <w:sz w:val="24"/>
          <w:szCs w:val="24"/>
        </w:rPr>
        <w:t xml:space="preserve">within </w:t>
      </w:r>
      <w:r w:rsidR="00696E5F" w:rsidRPr="0047622D">
        <w:rPr>
          <w:rFonts w:ascii="Cambria" w:eastAsiaTheme="majorEastAsia" w:hAnsi="Cambria" w:cstheme="majorBidi"/>
          <w:sz w:val="24"/>
          <w:szCs w:val="24"/>
        </w:rPr>
        <w:t>s</w:t>
      </w:r>
      <w:r w:rsidRPr="00696E5F">
        <w:rPr>
          <w:rFonts w:ascii="Cambria" w:eastAsiaTheme="majorEastAsia" w:hAnsi="Cambria" w:cstheme="majorBidi"/>
          <w:sz w:val="24"/>
          <w:szCs w:val="24"/>
        </w:rPr>
        <w:t>ection 2</w:t>
      </w:r>
      <w:r w:rsidR="00696E5F">
        <w:rPr>
          <w:rFonts w:ascii="Cambria" w:eastAsiaTheme="majorEastAsia" w:hAnsi="Cambria" w:cstheme="majorBidi"/>
          <w:sz w:val="24"/>
          <w:szCs w:val="24"/>
        </w:rPr>
        <w:t>(b)(</w:t>
      </w:r>
      <w:r w:rsidR="00FF2F99" w:rsidRPr="00696E5F">
        <w:rPr>
          <w:rFonts w:ascii="Cambria" w:eastAsiaTheme="majorEastAsia" w:hAnsi="Cambria" w:cstheme="majorBidi"/>
          <w:sz w:val="24"/>
          <w:szCs w:val="24"/>
        </w:rPr>
        <w:t>vii</w:t>
      </w:r>
      <w:r w:rsidR="00696E5F">
        <w:rPr>
          <w:rFonts w:ascii="Cambria" w:eastAsiaTheme="majorEastAsia" w:hAnsi="Cambria" w:cstheme="majorBidi"/>
          <w:sz w:val="24"/>
          <w:szCs w:val="24"/>
        </w:rPr>
        <w:t>)</w:t>
      </w:r>
      <w:r w:rsidRPr="00C74A2C">
        <w:rPr>
          <w:rFonts w:ascii="Cambria" w:eastAsiaTheme="majorEastAsia" w:hAnsi="Cambria" w:cstheme="majorBidi"/>
          <w:sz w:val="24"/>
          <w:szCs w:val="24"/>
        </w:rPr>
        <w:t xml:space="preserve"> that a child has a right</w:t>
      </w:r>
      <w:r w:rsidRPr="00C74A2C">
        <w:rPr>
          <w:rFonts w:ascii="Cambria" w:eastAsiaTheme="majorEastAsia" w:hAnsi="Cambria" w:cstheme="majorBidi"/>
          <w:i/>
          <w:iCs/>
          <w:sz w:val="24"/>
          <w:szCs w:val="24"/>
        </w:rPr>
        <w:t xml:space="preserve"> </w:t>
      </w:r>
      <w:r w:rsidR="00FF2F99">
        <w:rPr>
          <w:rFonts w:ascii="Cambria" w:eastAsiaTheme="majorEastAsia" w:hAnsi="Cambria" w:cstheme="majorBidi"/>
          <w:i/>
          <w:iCs/>
          <w:sz w:val="24"/>
          <w:szCs w:val="24"/>
        </w:rPr>
        <w:t>‘</w:t>
      </w:r>
      <w:r w:rsidRPr="00FF2F99">
        <w:rPr>
          <w:rFonts w:ascii="Cambria" w:eastAsiaTheme="majorEastAsia" w:hAnsi="Cambria" w:cstheme="majorBidi"/>
          <w:sz w:val="24"/>
          <w:szCs w:val="24"/>
        </w:rPr>
        <w:t xml:space="preserve">to have his or her privacy </w:t>
      </w:r>
      <w:r w:rsidRPr="0009255C">
        <w:rPr>
          <w:rFonts w:ascii="Cambria" w:eastAsiaTheme="majorEastAsia" w:hAnsi="Cambria" w:cstheme="majorBidi"/>
          <w:iCs/>
          <w:sz w:val="24"/>
          <w:szCs w:val="24"/>
        </w:rPr>
        <w:t>fully</w:t>
      </w:r>
      <w:r w:rsidRPr="00FF2F99">
        <w:rPr>
          <w:rFonts w:ascii="Cambria" w:eastAsiaTheme="majorEastAsia" w:hAnsi="Cambria" w:cstheme="majorBidi"/>
          <w:sz w:val="24"/>
          <w:szCs w:val="24"/>
        </w:rPr>
        <w:t xml:space="preserve"> respected at all stages of the proceedings.</w:t>
      </w:r>
      <w:r w:rsidR="00FF2F99">
        <w:rPr>
          <w:rFonts w:ascii="Cambria" w:eastAsiaTheme="majorEastAsia" w:hAnsi="Cambria" w:cstheme="majorBidi"/>
          <w:sz w:val="24"/>
          <w:szCs w:val="24"/>
        </w:rPr>
        <w:t>’</w:t>
      </w:r>
      <w:r w:rsidR="000C0FF1" w:rsidRPr="00C74A2C">
        <w:rPr>
          <w:rFonts w:ascii="Cambria" w:eastAsiaTheme="majorEastAsia" w:hAnsi="Cambria" w:cstheme="majorBidi"/>
          <w:sz w:val="24"/>
          <w:szCs w:val="24"/>
          <w:vertAlign w:val="superscript"/>
        </w:rPr>
        <w:footnoteReference w:id="34"/>
      </w:r>
      <w:r w:rsidR="000C0FF1"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 This position is further supported under the </w:t>
      </w:r>
      <w:r w:rsidRPr="00C74A2C">
        <w:rPr>
          <w:rFonts w:ascii="Cambria" w:eastAsiaTheme="majorEastAsia" w:hAnsi="Cambria" w:cstheme="majorBidi"/>
          <w:i/>
          <w:iCs/>
          <w:sz w:val="24"/>
          <w:szCs w:val="24"/>
        </w:rPr>
        <w:t>United Nations Standard Minimum Rules for the Administration</w:t>
      </w:r>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 xml:space="preserve">of Juvenile Justice </w:t>
      </w:r>
      <w:r w:rsidRPr="00C74A2C">
        <w:rPr>
          <w:rFonts w:ascii="Cambria" w:eastAsiaTheme="majorEastAsia" w:hAnsi="Cambria" w:cstheme="majorBidi"/>
          <w:sz w:val="24"/>
          <w:szCs w:val="24"/>
        </w:rPr>
        <w:t>that indicate any proceedings be conducted in a manner which allows the</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young person to </w:t>
      </w:r>
      <w:r w:rsidRPr="00C74A2C">
        <w:rPr>
          <w:rFonts w:ascii="Cambria" w:eastAsiaTheme="majorEastAsia" w:hAnsi="Cambria" w:cstheme="majorBidi"/>
          <w:sz w:val="24"/>
          <w:szCs w:val="24"/>
        </w:rPr>
        <w:lastRenderedPageBreak/>
        <w:t>express themselves freely.</w:t>
      </w:r>
      <w:r w:rsidRPr="00C74A2C">
        <w:rPr>
          <w:rFonts w:ascii="Cambria" w:eastAsiaTheme="majorEastAsia" w:hAnsi="Cambria" w:cstheme="majorBidi"/>
          <w:sz w:val="24"/>
          <w:szCs w:val="24"/>
          <w:vertAlign w:val="superscript"/>
        </w:rPr>
        <w:footnoteReference w:id="35"/>
      </w:r>
      <w:r w:rsidRPr="00C74A2C">
        <w:rPr>
          <w:rFonts w:ascii="Cambria" w:eastAsiaTheme="majorEastAsia" w:hAnsi="Cambria" w:cstheme="majorBidi"/>
          <w:sz w:val="24"/>
          <w:szCs w:val="24"/>
        </w:rPr>
        <w:t xml:space="preserve"> The right to privacy should be in accordance with such rights and absolute. The </w:t>
      </w:r>
      <w:r w:rsidR="00E65A81" w:rsidRPr="0047622D">
        <w:rPr>
          <w:rFonts w:ascii="Cambria" w:eastAsiaTheme="majorEastAsia" w:hAnsi="Cambria" w:cstheme="majorBidi"/>
          <w:iCs/>
          <w:sz w:val="24"/>
          <w:szCs w:val="24"/>
        </w:rPr>
        <w:t>PPRA QLD</w:t>
      </w:r>
      <w:r w:rsidR="00CC7BEB">
        <w:rPr>
          <w:rFonts w:ascii="Cambria" w:eastAsiaTheme="majorEastAsia" w:hAnsi="Cambria" w:cstheme="majorBidi"/>
          <w:i/>
          <w:iCs/>
          <w:sz w:val="24"/>
          <w:szCs w:val="24"/>
        </w:rPr>
        <w:t xml:space="preserve"> </w:t>
      </w:r>
      <w:r w:rsidR="00E65A81" w:rsidRPr="00C74A2C">
        <w:rPr>
          <w:rFonts w:ascii="Cambria" w:eastAsiaTheme="majorEastAsia" w:hAnsi="Cambria" w:cstheme="majorBidi"/>
          <w:sz w:val="24"/>
          <w:szCs w:val="24"/>
        </w:rPr>
        <w:t xml:space="preserve">seems to </w:t>
      </w:r>
      <w:r w:rsidRPr="00C74A2C">
        <w:rPr>
          <w:rFonts w:ascii="Cambria" w:eastAsiaTheme="majorEastAsia" w:hAnsi="Cambria" w:cstheme="majorBidi"/>
          <w:sz w:val="24"/>
          <w:szCs w:val="24"/>
        </w:rPr>
        <w:t>fall short of such an inclusion</w:t>
      </w:r>
      <w:r w:rsidR="00E65A81" w:rsidRPr="00C74A2C">
        <w:rPr>
          <w:rFonts w:ascii="Cambria" w:eastAsiaTheme="majorEastAsia" w:hAnsi="Cambria" w:cstheme="majorBidi"/>
          <w:sz w:val="24"/>
          <w:szCs w:val="24"/>
        </w:rPr>
        <w:t xml:space="preserve">, and the wording of the Act raises questions by noting that </w:t>
      </w:r>
      <w:r w:rsidR="001D714B">
        <w:rPr>
          <w:rFonts w:ascii="Cambria" w:eastAsiaTheme="majorEastAsia" w:hAnsi="Cambria" w:cstheme="majorBidi"/>
          <w:sz w:val="24"/>
          <w:szCs w:val="24"/>
        </w:rPr>
        <w:t xml:space="preserve">the right to privacy needs to be afforded </w:t>
      </w:r>
      <w:r w:rsidR="00E65A81" w:rsidRPr="00C74A2C">
        <w:rPr>
          <w:rFonts w:ascii="Cambria" w:eastAsiaTheme="majorEastAsia" w:hAnsi="Cambria" w:cstheme="majorBidi"/>
          <w:sz w:val="24"/>
          <w:szCs w:val="24"/>
        </w:rPr>
        <w:t>‘if it is reasonably practicable to do so</w:t>
      </w:r>
      <w:r w:rsidR="008E3FBE" w:rsidRPr="00C74A2C">
        <w:rPr>
          <w:rFonts w:ascii="Cambria" w:eastAsiaTheme="majorEastAsia" w:hAnsi="Cambria" w:cstheme="majorBidi"/>
          <w:sz w:val="24"/>
          <w:szCs w:val="24"/>
        </w:rPr>
        <w:t>.</w:t>
      </w:r>
      <w:r w:rsidR="000C0FF1" w:rsidRPr="00C74A2C">
        <w:rPr>
          <w:rFonts w:ascii="Cambria" w:eastAsiaTheme="majorEastAsia" w:hAnsi="Cambria" w:cstheme="majorBidi"/>
          <w:sz w:val="24"/>
          <w:szCs w:val="24"/>
        </w:rPr>
        <w:t>’</w:t>
      </w:r>
      <w:r w:rsidR="000C0FF1" w:rsidRPr="00C74A2C">
        <w:rPr>
          <w:rFonts w:ascii="Cambria" w:eastAsiaTheme="majorEastAsia" w:hAnsi="Cambria" w:cstheme="majorBidi"/>
          <w:sz w:val="24"/>
          <w:szCs w:val="24"/>
          <w:vertAlign w:val="superscript"/>
        </w:rPr>
        <w:t xml:space="preserve"> </w:t>
      </w:r>
      <w:r w:rsidR="000C0FF1" w:rsidRPr="00C74A2C">
        <w:rPr>
          <w:rFonts w:ascii="Cambria" w:eastAsiaTheme="majorEastAsia" w:hAnsi="Cambria" w:cstheme="majorBidi"/>
          <w:sz w:val="24"/>
          <w:szCs w:val="24"/>
          <w:vertAlign w:val="superscript"/>
        </w:rPr>
        <w:footnoteReference w:id="36"/>
      </w:r>
    </w:p>
    <w:p w14:paraId="64FFD236" w14:textId="08E314E0" w:rsidR="00100414" w:rsidRPr="00C74A2C" w:rsidRDefault="00100414" w:rsidP="00100414">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A further key issue raised with forensic procedures is the securing informed consent. In order to secure informed consent, it is essential to ensure that the nature of and implications of the forensic procedure are clearly communicated to, and understood by, </w:t>
      </w:r>
      <w:r w:rsidR="00B97811">
        <w:rPr>
          <w:rFonts w:ascii="Cambria" w:eastAsiaTheme="majorEastAsia" w:hAnsi="Cambria" w:cstheme="majorBidi"/>
          <w:sz w:val="24"/>
          <w:szCs w:val="24"/>
        </w:rPr>
        <w:t>the</w:t>
      </w:r>
      <w:r w:rsidRPr="00C74A2C">
        <w:rPr>
          <w:rFonts w:ascii="Cambria" w:eastAsiaTheme="majorEastAsia" w:hAnsi="Cambria" w:cstheme="majorBidi"/>
          <w:sz w:val="24"/>
          <w:szCs w:val="24"/>
        </w:rPr>
        <w:t xml:space="preserve"> young person. With further reference to the</w:t>
      </w:r>
      <w:r w:rsidR="001D714B">
        <w:rPr>
          <w:rFonts w:ascii="Cambria" w:eastAsiaTheme="majorEastAsia" w:hAnsi="Cambria" w:cstheme="majorBidi"/>
          <w:sz w:val="24"/>
          <w:szCs w:val="24"/>
        </w:rPr>
        <w:t xml:space="preserve"> PPRA QLD</w:t>
      </w:r>
      <w:r w:rsidRPr="00C74A2C">
        <w:rPr>
          <w:rFonts w:ascii="Cambria" w:eastAsiaTheme="majorEastAsia" w:hAnsi="Cambria" w:cstheme="majorBidi"/>
          <w:i/>
          <w:iCs/>
          <w:sz w:val="24"/>
          <w:szCs w:val="24"/>
        </w:rPr>
        <w:t>,</w:t>
      </w:r>
      <w:r w:rsidRPr="00C74A2C">
        <w:rPr>
          <w:rFonts w:ascii="Cambria" w:eastAsiaTheme="majorEastAsia" w:hAnsi="Cambria" w:cstheme="majorBidi"/>
          <w:sz w:val="24"/>
          <w:szCs w:val="24"/>
        </w:rPr>
        <w:t xml:space="preserve"> </w:t>
      </w:r>
      <w:r w:rsidR="000C0FF1"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ection 453(1) stipulates that the police officer concerned has the discretion to determine what a ‘reasonable time to consider the explanation’ in relation to seeking permission for a forensic procedure</w:t>
      </w:r>
      <w:r w:rsidR="000C0FF1" w:rsidRPr="00C74A2C">
        <w:rPr>
          <w:rFonts w:ascii="Cambria" w:eastAsiaTheme="majorEastAsia" w:hAnsi="Cambria" w:cstheme="majorBidi"/>
          <w:sz w:val="24"/>
          <w:szCs w:val="24"/>
        </w:rPr>
        <w:t xml:space="preserve"> given under section 454</w:t>
      </w:r>
      <w:r w:rsidRPr="00C74A2C">
        <w:rPr>
          <w:rFonts w:ascii="Cambria" w:eastAsiaTheme="majorEastAsia" w:hAnsi="Cambria" w:cstheme="majorBidi"/>
          <w:sz w:val="24"/>
          <w:szCs w:val="24"/>
        </w:rPr>
        <w:t>.</w:t>
      </w:r>
      <w:r w:rsidR="000C0FF1" w:rsidRPr="00C74A2C">
        <w:rPr>
          <w:rFonts w:ascii="Cambria" w:eastAsiaTheme="majorEastAsia" w:hAnsi="Cambria" w:cstheme="majorBidi"/>
          <w:sz w:val="24"/>
          <w:szCs w:val="24"/>
          <w:vertAlign w:val="superscript"/>
        </w:rPr>
        <w:footnoteReference w:id="37"/>
      </w:r>
      <w:r w:rsidR="000C0FF1"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 It may be reasonable to consider that such discretion is too wide ranging and </w:t>
      </w:r>
      <w:r w:rsidR="00C066AF" w:rsidRPr="00C74A2C">
        <w:rPr>
          <w:rFonts w:ascii="Cambria" w:eastAsiaTheme="majorEastAsia" w:hAnsi="Cambria" w:cstheme="majorBidi"/>
          <w:sz w:val="24"/>
          <w:szCs w:val="24"/>
        </w:rPr>
        <w:t>that the legislation needs to</w:t>
      </w:r>
      <w:r w:rsidRPr="00C74A2C">
        <w:rPr>
          <w:rFonts w:ascii="Cambria" w:eastAsiaTheme="majorEastAsia" w:hAnsi="Cambria" w:cstheme="majorBidi"/>
          <w:sz w:val="24"/>
          <w:szCs w:val="24"/>
        </w:rPr>
        <w:t xml:space="preserve"> stipulate a minimum period of time for such consideration to not only apprise the alleged young offender of their rights, but also allow communication with an independent support person. Further, the young person may wish to consider whether they want legal advice and/or parental involvement. In addition, </w:t>
      </w:r>
      <w:r w:rsidR="00B97811">
        <w:rPr>
          <w:rFonts w:ascii="Cambria" w:eastAsiaTheme="majorEastAsia" w:hAnsi="Cambria" w:cstheme="majorBidi"/>
          <w:sz w:val="24"/>
          <w:szCs w:val="24"/>
        </w:rPr>
        <w:t>s</w:t>
      </w:r>
      <w:r w:rsidRPr="00C74A2C">
        <w:rPr>
          <w:rFonts w:ascii="Cambria" w:eastAsiaTheme="majorEastAsia" w:hAnsi="Cambria" w:cstheme="majorBidi"/>
          <w:sz w:val="24"/>
          <w:szCs w:val="24"/>
        </w:rPr>
        <w:t>ection 455(2) refers to the consent for a forensic procedure to be written and signed by the person giving consent. This clause may need to ensure signing and consent takes into consideration the literacy and comprehension skills of the alleged offender.</w:t>
      </w:r>
      <w:r w:rsidR="000C0FF1" w:rsidRPr="00C74A2C">
        <w:rPr>
          <w:rStyle w:val="FootnoteReference"/>
          <w:rFonts w:ascii="Cambria" w:eastAsiaTheme="majorEastAsia" w:hAnsi="Cambria" w:cstheme="majorBidi"/>
          <w:sz w:val="24"/>
          <w:szCs w:val="24"/>
        </w:rPr>
        <w:footnoteReference w:id="38"/>
      </w:r>
    </w:p>
    <w:p w14:paraId="4EB64EB3" w14:textId="7CF14A00" w:rsidR="00100414" w:rsidRPr="0047622D" w:rsidRDefault="00100414" w:rsidP="00100414">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With respect to the alleged offender granting, or not granting, permission to proceed with the </w:t>
      </w:r>
      <w:r w:rsidR="007A7357" w:rsidRPr="00C74A2C">
        <w:rPr>
          <w:rFonts w:ascii="Cambria" w:eastAsiaTheme="majorEastAsia" w:hAnsi="Cambria" w:cstheme="majorBidi"/>
          <w:sz w:val="24"/>
          <w:szCs w:val="24"/>
        </w:rPr>
        <w:t>forensic procedure</w:t>
      </w:r>
      <w:r w:rsidRPr="00C74A2C">
        <w:rPr>
          <w:rFonts w:ascii="Cambria" w:eastAsiaTheme="majorEastAsia" w:hAnsi="Cambria" w:cstheme="majorBidi"/>
          <w:sz w:val="24"/>
          <w:szCs w:val="24"/>
        </w:rPr>
        <w:t xml:space="preserve">, </w:t>
      </w:r>
      <w:r w:rsidR="000C0FF1"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 xml:space="preserve">ection 458(1) of the </w:t>
      </w:r>
      <w:r w:rsidR="00B97811">
        <w:rPr>
          <w:rFonts w:ascii="Cambria" w:eastAsiaTheme="majorEastAsia" w:hAnsi="Cambria" w:cstheme="majorBidi"/>
          <w:iCs/>
          <w:sz w:val="24"/>
          <w:szCs w:val="24"/>
        </w:rPr>
        <w:t>PPRA QLD</w:t>
      </w:r>
      <w:r w:rsidR="000C0FF1"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raises an interesting point of contention.</w:t>
      </w:r>
      <w:r w:rsidR="000C0FF1" w:rsidRPr="00C74A2C">
        <w:rPr>
          <w:rFonts w:ascii="Cambria" w:eastAsiaTheme="majorEastAsia" w:hAnsi="Cambria" w:cstheme="majorBidi"/>
          <w:sz w:val="24"/>
          <w:szCs w:val="24"/>
          <w:vertAlign w:val="superscript"/>
        </w:rPr>
        <w:footnoteReference w:id="39"/>
      </w:r>
      <w:r w:rsidR="000C0FF1" w:rsidRPr="00C74A2C">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 Ireland highlights the adverse influence from non-consent to the provision of DNA samples by asking: </w:t>
      </w:r>
      <w:r w:rsidR="000C0FF1" w:rsidRPr="00B97811">
        <w:rPr>
          <w:rFonts w:ascii="Cambria" w:eastAsiaTheme="majorEastAsia" w:hAnsi="Cambria" w:cstheme="majorBidi"/>
          <w:sz w:val="24"/>
          <w:szCs w:val="24"/>
        </w:rPr>
        <w:t>‘</w:t>
      </w:r>
      <w:r w:rsidRPr="00B97811">
        <w:rPr>
          <w:rFonts w:ascii="Cambria" w:eastAsiaTheme="majorEastAsia" w:hAnsi="Cambria" w:cstheme="majorBidi"/>
          <w:sz w:val="24"/>
          <w:szCs w:val="24"/>
        </w:rPr>
        <w:t>[</w:t>
      </w:r>
      <w:proofErr w:type="spellStart"/>
      <w:r w:rsidRPr="00B97811">
        <w:rPr>
          <w:rFonts w:ascii="Cambria" w:eastAsiaTheme="majorEastAsia" w:hAnsi="Cambria" w:cstheme="majorBidi"/>
          <w:sz w:val="24"/>
          <w:szCs w:val="24"/>
        </w:rPr>
        <w:t>d]o</w:t>
      </w:r>
      <w:proofErr w:type="spellEnd"/>
      <w:r w:rsidRPr="00B97811">
        <w:rPr>
          <w:rFonts w:ascii="Cambria" w:eastAsiaTheme="majorEastAsia" w:hAnsi="Cambria" w:cstheme="majorBidi"/>
          <w:sz w:val="24"/>
          <w:szCs w:val="24"/>
        </w:rPr>
        <w:t xml:space="preserve"> they consent and give the sample and have forensic evidence provide valuable support to the prosecution case, or do they refuse to cooperate, and risk the court drawing adverse inference from the refusal to give consent?</w:t>
      </w:r>
      <w:r w:rsidR="000C0FF1" w:rsidRPr="00B97811">
        <w:rPr>
          <w:rFonts w:ascii="Cambria" w:eastAsiaTheme="majorEastAsia" w:hAnsi="Cambria" w:cstheme="majorBidi"/>
          <w:sz w:val="24"/>
          <w:szCs w:val="24"/>
        </w:rPr>
        <w:t>’</w:t>
      </w:r>
      <w:r w:rsidRPr="00B97811">
        <w:rPr>
          <w:rFonts w:ascii="Cambria" w:eastAsiaTheme="majorEastAsia" w:hAnsi="Cambria" w:cstheme="majorBidi"/>
          <w:sz w:val="24"/>
          <w:szCs w:val="24"/>
          <w:vertAlign w:val="superscript"/>
        </w:rPr>
        <w:footnoteReference w:id="40"/>
      </w:r>
      <w:r w:rsidRPr="00B97811">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Section</w:t>
      </w:r>
      <w:r w:rsidR="00B97811">
        <w:rPr>
          <w:rFonts w:ascii="Cambria" w:eastAsiaTheme="majorEastAsia" w:hAnsi="Cambria" w:cstheme="majorBidi"/>
          <w:sz w:val="24"/>
          <w:szCs w:val="24"/>
        </w:rPr>
        <w:t>s</w:t>
      </w:r>
      <w:r w:rsidRPr="00C74A2C">
        <w:rPr>
          <w:rFonts w:ascii="Cambria" w:eastAsiaTheme="majorEastAsia" w:hAnsi="Cambria" w:cstheme="majorBidi"/>
          <w:sz w:val="24"/>
          <w:szCs w:val="24"/>
        </w:rPr>
        <w:t xml:space="preserve"> 458(1) and 488(4)(a)(b),</w:t>
      </w:r>
      <w:r w:rsidR="00B97811">
        <w:rPr>
          <w:rStyle w:val="FootnoteReference"/>
          <w:rFonts w:ascii="Cambria" w:eastAsiaTheme="majorEastAsia" w:hAnsi="Cambria" w:cstheme="majorBidi"/>
          <w:sz w:val="24"/>
          <w:szCs w:val="24"/>
        </w:rPr>
        <w:footnoteReference w:id="41"/>
      </w:r>
      <w:r w:rsidRPr="00C74A2C">
        <w:rPr>
          <w:rFonts w:ascii="Cambria" w:eastAsiaTheme="majorEastAsia" w:hAnsi="Cambria" w:cstheme="majorBidi"/>
          <w:sz w:val="24"/>
          <w:szCs w:val="24"/>
        </w:rPr>
        <w:t xml:space="preserve"> it may be asserted, </w:t>
      </w:r>
      <w:r w:rsidR="007A7357" w:rsidRPr="00C74A2C">
        <w:rPr>
          <w:rFonts w:ascii="Cambria" w:eastAsiaTheme="majorEastAsia" w:hAnsi="Cambria" w:cstheme="majorBidi"/>
          <w:sz w:val="24"/>
          <w:szCs w:val="24"/>
        </w:rPr>
        <w:t>are</w:t>
      </w:r>
      <w:r w:rsidRPr="00C74A2C">
        <w:rPr>
          <w:rFonts w:ascii="Cambria" w:eastAsiaTheme="majorEastAsia" w:hAnsi="Cambria" w:cstheme="majorBidi"/>
          <w:sz w:val="24"/>
          <w:szCs w:val="24"/>
        </w:rPr>
        <w:t xml:space="preserve"> based on an </w:t>
      </w:r>
      <w:r w:rsidRPr="00C74A2C">
        <w:rPr>
          <w:rFonts w:ascii="Cambria" w:eastAsiaTheme="majorEastAsia" w:hAnsi="Cambria" w:cstheme="majorBidi"/>
          <w:sz w:val="24"/>
          <w:szCs w:val="24"/>
        </w:rPr>
        <w:lastRenderedPageBreak/>
        <w:t xml:space="preserve">abrogation of the presumption of innocence, a core principle in the </w:t>
      </w:r>
      <w:r w:rsidRPr="00C74A2C">
        <w:rPr>
          <w:rFonts w:ascii="Cambria" w:eastAsiaTheme="majorEastAsia" w:hAnsi="Cambria" w:cstheme="majorBidi"/>
          <w:i/>
          <w:iCs/>
          <w:sz w:val="24"/>
          <w:szCs w:val="24"/>
        </w:rPr>
        <w:t>United Nations Standard Minimum Rules for the Administration of Juvenile</w:t>
      </w:r>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Justice</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42"/>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In this instance, within the context of </w:t>
      </w:r>
      <w:r w:rsidR="00B97811">
        <w:rPr>
          <w:rFonts w:ascii="Cambria" w:eastAsiaTheme="majorEastAsia" w:hAnsi="Cambria" w:cstheme="majorBidi"/>
          <w:sz w:val="24"/>
          <w:szCs w:val="24"/>
        </w:rPr>
        <w:t>the PPRA QLD</w:t>
      </w:r>
      <w:r w:rsidRPr="00C74A2C">
        <w:rPr>
          <w:rFonts w:ascii="Cambria" w:eastAsiaTheme="majorEastAsia" w:hAnsi="Cambria" w:cstheme="majorBidi"/>
          <w:sz w:val="24"/>
          <w:szCs w:val="24"/>
        </w:rPr>
        <w:t xml:space="preserve">, </w:t>
      </w:r>
      <w:r w:rsidR="00B97811">
        <w:rPr>
          <w:rFonts w:ascii="Cambria" w:eastAsiaTheme="majorEastAsia" w:hAnsi="Cambria" w:cstheme="majorBidi"/>
          <w:sz w:val="24"/>
          <w:szCs w:val="24"/>
        </w:rPr>
        <w:t xml:space="preserve">this means </w:t>
      </w:r>
      <w:r w:rsidRPr="00C74A2C">
        <w:rPr>
          <w:rFonts w:ascii="Cambria" w:eastAsiaTheme="majorEastAsia" w:hAnsi="Cambria" w:cstheme="majorBidi"/>
          <w:sz w:val="24"/>
          <w:szCs w:val="24"/>
        </w:rPr>
        <w:t>that there is no adherence to an i</w:t>
      </w:r>
      <w:r w:rsidR="00C066AF" w:rsidRPr="00C74A2C">
        <w:rPr>
          <w:rFonts w:ascii="Cambria" w:eastAsiaTheme="majorEastAsia" w:hAnsi="Cambria" w:cstheme="majorBidi"/>
          <w:sz w:val="24"/>
          <w:szCs w:val="24"/>
        </w:rPr>
        <w:t>ntegral underlying principle of</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criminal</w:t>
      </w:r>
      <w:r w:rsidR="006040D1" w:rsidRPr="00C74A2C">
        <w:rPr>
          <w:rFonts w:ascii="Cambria" w:eastAsiaTheme="majorEastAsia" w:hAnsi="Cambria" w:cstheme="majorBidi"/>
          <w:sz w:val="24"/>
          <w:szCs w:val="24"/>
        </w:rPr>
        <w:t xml:space="preserve"> processing</w:t>
      </w:r>
      <w:r w:rsidRPr="00C74A2C">
        <w:rPr>
          <w:rFonts w:ascii="Cambria" w:eastAsiaTheme="majorEastAsia" w:hAnsi="Cambria" w:cstheme="majorBidi"/>
          <w:sz w:val="24"/>
          <w:szCs w:val="24"/>
        </w:rPr>
        <w:t xml:space="preserve"> system</w:t>
      </w:r>
      <w:r w:rsidR="00C066AF"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 xml:space="preserve">. Further, with continuing reference to </w:t>
      </w:r>
      <w:r w:rsidR="00102023"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 xml:space="preserve">ection 488(7)(b), it is indicated that </w:t>
      </w:r>
      <w:r w:rsidR="00102023"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w:t>
      </w:r>
      <w:proofErr w:type="spellStart"/>
      <w:r w:rsidRPr="00C74A2C">
        <w:rPr>
          <w:rFonts w:ascii="Cambria" w:eastAsiaTheme="majorEastAsia" w:hAnsi="Cambria" w:cstheme="majorBidi"/>
          <w:sz w:val="24"/>
          <w:szCs w:val="24"/>
        </w:rPr>
        <w:t>i</w:t>
      </w:r>
      <w:proofErr w:type="spellEnd"/>
      <w:r w:rsidRPr="00C74A2C">
        <w:rPr>
          <w:rFonts w:ascii="Cambria" w:eastAsiaTheme="majorEastAsia" w:hAnsi="Cambria" w:cstheme="majorBidi"/>
          <w:sz w:val="24"/>
          <w:szCs w:val="24"/>
        </w:rPr>
        <w:t>]t is not a reasonable excuse for the child to contravene the order that complying with it may tend to incriminate the child</w:t>
      </w:r>
      <w:r w:rsidR="00102023"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43"/>
      </w:r>
      <w:r w:rsidRPr="00C74A2C">
        <w:rPr>
          <w:rFonts w:ascii="Cambria" w:eastAsiaTheme="majorEastAsia" w:hAnsi="Cambria" w:cstheme="majorBidi"/>
          <w:sz w:val="24"/>
          <w:szCs w:val="24"/>
        </w:rPr>
        <w:t xml:space="preserve"> This too may be considered an abrogation of the rights of the child in that it encroaches on the principle of the privilege against self -incrimination as well as the right to silence. As </w:t>
      </w:r>
      <w:proofErr w:type="spellStart"/>
      <w:r w:rsidRPr="00C74A2C">
        <w:rPr>
          <w:rFonts w:ascii="Cambria" w:eastAsiaTheme="majorEastAsia" w:hAnsi="Cambria" w:cstheme="majorBidi"/>
          <w:sz w:val="24"/>
          <w:szCs w:val="24"/>
        </w:rPr>
        <w:t>Freckleton</w:t>
      </w:r>
      <w:proofErr w:type="spellEnd"/>
      <w:r w:rsidRPr="00C74A2C">
        <w:rPr>
          <w:rFonts w:ascii="Cambria" w:eastAsiaTheme="majorEastAsia" w:hAnsi="Cambria" w:cstheme="majorBidi"/>
          <w:sz w:val="24"/>
          <w:szCs w:val="24"/>
        </w:rPr>
        <w:t xml:space="preserve"> states:</w:t>
      </w:r>
    </w:p>
    <w:p w14:paraId="407C0380" w14:textId="41259BEA" w:rsidR="006040D1" w:rsidRPr="0047622D" w:rsidRDefault="00100414" w:rsidP="00B97811">
      <w:pPr>
        <w:spacing w:line="360" w:lineRule="auto"/>
        <w:ind w:left="709" w:right="567"/>
        <w:jc w:val="both"/>
        <w:rPr>
          <w:rFonts w:ascii="Cambria" w:eastAsiaTheme="majorEastAsia" w:hAnsi="Cambria" w:cstheme="majorBidi"/>
        </w:rPr>
      </w:pPr>
      <w:r w:rsidRPr="0047622D">
        <w:rPr>
          <w:rFonts w:ascii="Cambria" w:eastAsiaTheme="majorEastAsia" w:hAnsi="Cambria" w:cstheme="majorBidi"/>
        </w:rPr>
        <w:t xml:space="preserve">Our legal system has insisted upon the primacy of the privilege against self-incrimination and has orchestrated a balance between </w:t>
      </w:r>
      <w:proofErr w:type="spellStart"/>
      <w:r w:rsidRPr="0047622D">
        <w:rPr>
          <w:rFonts w:ascii="Cambria" w:eastAsiaTheme="majorEastAsia" w:hAnsi="Cambria" w:cstheme="majorBidi"/>
        </w:rPr>
        <w:t>defense</w:t>
      </w:r>
      <w:proofErr w:type="spellEnd"/>
      <w:r w:rsidRPr="0047622D">
        <w:rPr>
          <w:rFonts w:ascii="Cambria" w:eastAsiaTheme="majorEastAsia" w:hAnsi="Cambria" w:cstheme="majorBidi"/>
        </w:rPr>
        <w:t xml:space="preserve"> and prosecution with this as its’ basis. The prosecution has to prove its case without assistance from the accused person.</w:t>
      </w:r>
      <w:r w:rsidRPr="0047622D">
        <w:rPr>
          <w:rFonts w:ascii="Cambria" w:eastAsiaTheme="majorEastAsia" w:hAnsi="Cambria" w:cstheme="majorBidi"/>
          <w:vertAlign w:val="superscript"/>
        </w:rPr>
        <w:footnoteReference w:id="44"/>
      </w:r>
    </w:p>
    <w:p w14:paraId="42F60FC1" w14:textId="63772F68" w:rsidR="00100414" w:rsidRPr="00C74A2C" w:rsidRDefault="00100414" w:rsidP="00A9132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Therefore, again within the Queensland context, the legislation places the alleged young offender at a distinct disadvantage.</w:t>
      </w:r>
      <w:r w:rsidR="006040D1" w:rsidRPr="00C74A2C">
        <w:rPr>
          <w:rFonts w:ascii="Cambria" w:eastAsiaTheme="majorEastAsia" w:hAnsi="Cambria" w:cstheme="majorBidi"/>
          <w:sz w:val="24"/>
          <w:szCs w:val="24"/>
        </w:rPr>
        <w:t xml:space="preserve"> </w:t>
      </w:r>
    </w:p>
    <w:p w14:paraId="41B80088" w14:textId="034B8B00" w:rsidR="006040D1" w:rsidRDefault="00B1644C" w:rsidP="00100414">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Another unclear part of the </w:t>
      </w:r>
      <w:r w:rsidR="00B97811">
        <w:rPr>
          <w:rFonts w:ascii="Cambria" w:eastAsiaTheme="majorEastAsia" w:hAnsi="Cambria" w:cstheme="majorBidi"/>
          <w:iCs/>
          <w:sz w:val="24"/>
          <w:szCs w:val="24"/>
        </w:rPr>
        <w:t>PPRA QLD</w:t>
      </w:r>
      <w:r w:rsidRPr="00C74A2C">
        <w:rPr>
          <w:rFonts w:ascii="Cambria" w:eastAsiaTheme="majorEastAsia" w:hAnsi="Cambria" w:cstheme="majorBidi"/>
          <w:sz w:val="24"/>
          <w:szCs w:val="24"/>
        </w:rPr>
        <w:t xml:space="preserve"> is that which deals with the ‘capacity’ to give consent for forensic procedures under </w:t>
      </w:r>
      <w:r w:rsidR="00B97811">
        <w:rPr>
          <w:rFonts w:ascii="Cambria" w:eastAsiaTheme="majorEastAsia" w:hAnsi="Cambria" w:cstheme="majorBidi"/>
          <w:sz w:val="24"/>
          <w:szCs w:val="24"/>
        </w:rPr>
        <w:t>s</w:t>
      </w:r>
      <w:r w:rsidRPr="00C74A2C">
        <w:rPr>
          <w:rFonts w:ascii="Cambria" w:eastAsiaTheme="majorEastAsia" w:hAnsi="Cambria" w:cstheme="majorBidi"/>
          <w:sz w:val="24"/>
          <w:szCs w:val="24"/>
        </w:rPr>
        <w:t>ections 450 to 452.</w:t>
      </w:r>
      <w:r w:rsidR="001E2E49" w:rsidRPr="0047622D">
        <w:rPr>
          <w:rFonts w:ascii="Cambria" w:eastAsiaTheme="majorEastAsia" w:hAnsi="Cambria" w:cstheme="majorBidi"/>
          <w:iCs/>
          <w:sz w:val="24"/>
          <w:szCs w:val="24"/>
          <w:vertAlign w:val="superscript"/>
        </w:rPr>
        <w:footnoteReference w:id="45"/>
      </w:r>
      <w:r w:rsidRPr="00C74A2C">
        <w:rPr>
          <w:rFonts w:ascii="Cambria" w:eastAsiaTheme="majorEastAsia" w:hAnsi="Cambria" w:cstheme="majorBidi"/>
          <w:sz w:val="24"/>
          <w:szCs w:val="24"/>
        </w:rPr>
        <w:t xml:space="preserve"> Capacity is defined generally as the </w:t>
      </w:r>
      <w:r w:rsidR="0099131F"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[p]</w:t>
      </w:r>
      <w:proofErr w:type="spellStart"/>
      <w:r w:rsidRPr="00C74A2C">
        <w:rPr>
          <w:rFonts w:ascii="Cambria" w:eastAsiaTheme="majorEastAsia" w:hAnsi="Cambria" w:cstheme="majorBidi"/>
          <w:sz w:val="24"/>
          <w:szCs w:val="24"/>
        </w:rPr>
        <w:t>ower</w:t>
      </w:r>
      <w:proofErr w:type="spellEnd"/>
      <w:r w:rsidRPr="00C74A2C">
        <w:rPr>
          <w:rFonts w:ascii="Cambria" w:eastAsiaTheme="majorEastAsia" w:hAnsi="Cambria" w:cstheme="majorBidi"/>
          <w:sz w:val="24"/>
          <w:szCs w:val="24"/>
        </w:rPr>
        <w:t>, ability, competence of a person or body</w:t>
      </w:r>
      <w:r w:rsidR="0099131F"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46"/>
      </w:r>
      <w:r w:rsidRPr="00C74A2C">
        <w:rPr>
          <w:rFonts w:ascii="Cambria" w:eastAsiaTheme="majorEastAsia" w:hAnsi="Cambria" w:cstheme="majorBidi"/>
          <w:sz w:val="24"/>
          <w:szCs w:val="24"/>
        </w:rPr>
        <w:t xml:space="preserve"> </w:t>
      </w:r>
      <w:r w:rsidR="007A5271">
        <w:rPr>
          <w:rFonts w:ascii="Cambria" w:eastAsiaTheme="majorEastAsia" w:hAnsi="Cambria" w:cstheme="majorBidi"/>
          <w:sz w:val="24"/>
          <w:szCs w:val="24"/>
        </w:rPr>
        <w:t xml:space="preserve">This is well demonstrated in the principle of </w:t>
      </w:r>
      <w:proofErr w:type="spellStart"/>
      <w:r w:rsidR="007A5271">
        <w:rPr>
          <w:rFonts w:ascii="Cambria" w:eastAsiaTheme="majorEastAsia" w:hAnsi="Cambria" w:cstheme="majorBidi"/>
          <w:i/>
          <w:sz w:val="24"/>
          <w:szCs w:val="24"/>
        </w:rPr>
        <w:t>doli</w:t>
      </w:r>
      <w:proofErr w:type="spellEnd"/>
      <w:r w:rsidR="007A5271">
        <w:rPr>
          <w:rFonts w:ascii="Cambria" w:eastAsiaTheme="majorEastAsia" w:hAnsi="Cambria" w:cstheme="majorBidi"/>
          <w:i/>
          <w:sz w:val="24"/>
          <w:szCs w:val="24"/>
        </w:rPr>
        <w:t xml:space="preserve"> </w:t>
      </w:r>
      <w:proofErr w:type="spellStart"/>
      <w:r w:rsidR="007A5271">
        <w:rPr>
          <w:rFonts w:ascii="Cambria" w:eastAsiaTheme="majorEastAsia" w:hAnsi="Cambria" w:cstheme="majorBidi"/>
          <w:i/>
          <w:sz w:val="24"/>
          <w:szCs w:val="24"/>
        </w:rPr>
        <w:t>incapax</w:t>
      </w:r>
      <w:proofErr w:type="spellEnd"/>
      <w:r w:rsidR="007A5271">
        <w:rPr>
          <w:rFonts w:ascii="Cambria" w:eastAsiaTheme="majorEastAsia" w:hAnsi="Cambria" w:cstheme="majorBidi"/>
          <w:i/>
          <w:sz w:val="24"/>
          <w:szCs w:val="24"/>
        </w:rPr>
        <w:t>,</w:t>
      </w:r>
      <w:r w:rsidR="007A5271">
        <w:rPr>
          <w:rFonts w:ascii="Cambria" w:eastAsiaTheme="majorEastAsia" w:hAnsi="Cambria" w:cstheme="majorBidi"/>
          <w:sz w:val="24"/>
          <w:szCs w:val="24"/>
        </w:rPr>
        <w:t xml:space="preserve"> ‘</w:t>
      </w:r>
      <w:r w:rsidR="007A5271" w:rsidRPr="007A5271">
        <w:rPr>
          <w:rFonts w:ascii="Cambria" w:eastAsiaTheme="majorEastAsia" w:hAnsi="Cambria" w:cstheme="majorBidi"/>
          <w:sz w:val="24"/>
          <w:szCs w:val="24"/>
        </w:rPr>
        <w:t>a principle dating back to the 14th century which assumes that under a certain age children are incapable of knowing right from wrong and therefore cannot be held criminally responsible for their actions</w:t>
      </w:r>
      <w:r w:rsidR="007A5271">
        <w:rPr>
          <w:rFonts w:ascii="Cambria" w:eastAsiaTheme="majorEastAsia" w:hAnsi="Cambria" w:cstheme="majorBidi"/>
          <w:sz w:val="24"/>
          <w:szCs w:val="24"/>
        </w:rPr>
        <w:t>’</w:t>
      </w:r>
      <w:r w:rsidRPr="008F0E74">
        <w:rPr>
          <w:rFonts w:ascii="Cambria" w:eastAsiaTheme="majorEastAsia" w:hAnsi="Cambria" w:cstheme="majorBidi"/>
          <w:sz w:val="24"/>
          <w:szCs w:val="24"/>
          <w:highlight w:val="yellow"/>
        </w:rPr>
        <w:t>.</w:t>
      </w:r>
      <w:r w:rsidRPr="008F0E74">
        <w:rPr>
          <w:rFonts w:ascii="Cambria" w:eastAsiaTheme="majorEastAsia" w:hAnsi="Cambria" w:cstheme="majorBidi"/>
          <w:sz w:val="24"/>
          <w:szCs w:val="24"/>
          <w:highlight w:val="yellow"/>
          <w:vertAlign w:val="superscript"/>
        </w:rPr>
        <w:footnoteReference w:id="47"/>
      </w:r>
      <w:r w:rsidRPr="00C74A2C">
        <w:rPr>
          <w:rFonts w:ascii="Cambria" w:eastAsiaTheme="majorEastAsia" w:hAnsi="Cambria" w:cstheme="majorBidi"/>
          <w:sz w:val="24"/>
          <w:szCs w:val="24"/>
        </w:rPr>
        <w:t xml:space="preserve"> In the </w:t>
      </w:r>
      <w:r w:rsidRPr="00C74A2C">
        <w:rPr>
          <w:rFonts w:ascii="Cambria" w:eastAsiaTheme="majorEastAsia" w:hAnsi="Cambria" w:cstheme="majorBidi"/>
          <w:iCs/>
          <w:sz w:val="24"/>
          <w:szCs w:val="24"/>
        </w:rPr>
        <w:t>PPRA</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Qld, </w:t>
      </w:r>
      <w:r w:rsidR="00D44F81"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ection 450 refers to a ‘</w:t>
      </w:r>
      <w:r w:rsidR="00B97811">
        <w:rPr>
          <w:rFonts w:ascii="Cambria" w:eastAsiaTheme="majorEastAsia" w:hAnsi="Cambria" w:cstheme="majorBidi"/>
          <w:sz w:val="24"/>
          <w:szCs w:val="24"/>
        </w:rPr>
        <w:t>[s]</w:t>
      </w:r>
      <w:proofErr w:type="spellStart"/>
      <w:r w:rsidRPr="00C74A2C">
        <w:rPr>
          <w:rFonts w:ascii="Cambria" w:eastAsiaTheme="majorEastAsia" w:hAnsi="Cambria" w:cstheme="majorBidi"/>
          <w:sz w:val="24"/>
          <w:szCs w:val="24"/>
        </w:rPr>
        <w:t>pecial</w:t>
      </w:r>
      <w:proofErr w:type="spellEnd"/>
      <w:r w:rsidRPr="00C74A2C">
        <w:rPr>
          <w:rFonts w:ascii="Cambria" w:eastAsiaTheme="majorEastAsia" w:hAnsi="Cambria" w:cstheme="majorBidi"/>
          <w:sz w:val="24"/>
          <w:szCs w:val="24"/>
        </w:rPr>
        <w:t xml:space="preserve"> requirement for a child of at least 14’,</w:t>
      </w:r>
      <w:r w:rsidRPr="00C74A2C">
        <w:rPr>
          <w:rFonts w:ascii="Cambria" w:eastAsiaTheme="majorEastAsia" w:hAnsi="Cambria" w:cstheme="majorBidi"/>
          <w:i/>
          <w:iCs/>
          <w:sz w:val="24"/>
          <w:szCs w:val="24"/>
        </w:rPr>
        <w:t xml:space="preserve"> </w:t>
      </w:r>
      <w:r w:rsidR="00D44F81"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ection 451 refers to a ‘</w:t>
      </w:r>
      <w:r w:rsidR="00B97811">
        <w:rPr>
          <w:rFonts w:ascii="Cambria" w:eastAsiaTheme="majorEastAsia" w:hAnsi="Cambria" w:cstheme="majorBidi"/>
          <w:sz w:val="24"/>
          <w:szCs w:val="24"/>
        </w:rPr>
        <w:t>[s]</w:t>
      </w:r>
      <w:proofErr w:type="spellStart"/>
      <w:r w:rsidRPr="00C74A2C">
        <w:rPr>
          <w:rFonts w:ascii="Cambria" w:eastAsiaTheme="majorEastAsia" w:hAnsi="Cambria" w:cstheme="majorBidi"/>
          <w:sz w:val="24"/>
          <w:szCs w:val="24"/>
        </w:rPr>
        <w:t>pecial</w:t>
      </w:r>
      <w:proofErr w:type="spellEnd"/>
      <w:r w:rsidRPr="00C74A2C">
        <w:rPr>
          <w:rFonts w:ascii="Cambria" w:eastAsiaTheme="majorEastAsia" w:hAnsi="Cambria" w:cstheme="majorBidi"/>
          <w:sz w:val="24"/>
          <w:szCs w:val="24"/>
        </w:rPr>
        <w:t xml:space="preserve"> requirement for a child under 14’, and </w:t>
      </w:r>
      <w:r w:rsidR="00D44F81" w:rsidRPr="00C74A2C">
        <w:rPr>
          <w:rFonts w:ascii="Cambria" w:eastAsiaTheme="majorEastAsia" w:hAnsi="Cambria" w:cstheme="majorBidi"/>
          <w:sz w:val="24"/>
          <w:szCs w:val="24"/>
        </w:rPr>
        <w:t>s</w:t>
      </w:r>
      <w:r w:rsidRPr="00C74A2C">
        <w:rPr>
          <w:rFonts w:ascii="Cambria" w:eastAsiaTheme="majorEastAsia" w:hAnsi="Cambria" w:cstheme="majorBidi"/>
          <w:sz w:val="24"/>
          <w:szCs w:val="24"/>
        </w:rPr>
        <w:t xml:space="preserve">ection 452 </w:t>
      </w:r>
      <w:r w:rsidRPr="00C74A2C">
        <w:rPr>
          <w:rFonts w:ascii="Cambria" w:eastAsiaTheme="majorEastAsia" w:hAnsi="Cambria" w:cstheme="majorBidi"/>
          <w:sz w:val="24"/>
          <w:szCs w:val="24"/>
        </w:rPr>
        <w:lastRenderedPageBreak/>
        <w:t>notes a ‘</w:t>
      </w:r>
      <w:r w:rsidR="00B97811">
        <w:rPr>
          <w:rFonts w:ascii="Cambria" w:eastAsiaTheme="majorEastAsia" w:hAnsi="Cambria" w:cstheme="majorBidi"/>
          <w:sz w:val="24"/>
          <w:szCs w:val="24"/>
        </w:rPr>
        <w:t>[s]</w:t>
      </w:r>
      <w:proofErr w:type="spellStart"/>
      <w:r w:rsidRPr="00C74A2C">
        <w:rPr>
          <w:rFonts w:ascii="Cambria" w:eastAsiaTheme="majorEastAsia" w:hAnsi="Cambria" w:cstheme="majorBidi"/>
          <w:sz w:val="24"/>
          <w:szCs w:val="24"/>
        </w:rPr>
        <w:t>pecial</w:t>
      </w:r>
      <w:proofErr w:type="spellEnd"/>
      <w:r w:rsidRPr="00C74A2C">
        <w:rPr>
          <w:rFonts w:ascii="Cambria" w:eastAsiaTheme="majorEastAsia" w:hAnsi="Cambria" w:cstheme="majorBidi"/>
          <w:sz w:val="24"/>
          <w:szCs w:val="24"/>
        </w:rPr>
        <w:t xml:space="preserve"> requirement for a person with impaired capacity’.</w:t>
      </w:r>
      <w:r w:rsidRPr="00C74A2C">
        <w:rPr>
          <w:rFonts w:ascii="Cambria" w:eastAsiaTheme="majorEastAsia" w:hAnsi="Cambria" w:cstheme="majorBidi"/>
          <w:sz w:val="24"/>
          <w:szCs w:val="24"/>
          <w:vertAlign w:val="superscript"/>
        </w:rPr>
        <w:footnoteReference w:id="48"/>
      </w:r>
      <w:r w:rsidRPr="00C74A2C">
        <w:rPr>
          <w:rFonts w:ascii="Cambria" w:eastAsiaTheme="majorEastAsia" w:hAnsi="Cambria" w:cstheme="majorBidi"/>
          <w:sz w:val="24"/>
          <w:szCs w:val="24"/>
        </w:rPr>
        <w:t xml:space="preserve"> This paper argues there is not necessarily a clear point of delineation between those individuals who fall into each of these sections (by virtue of their age). It contends there are grey areas and regions of overlap with respect to the </w:t>
      </w:r>
      <w:r w:rsidRPr="00C74A2C">
        <w:rPr>
          <w:rFonts w:ascii="Cambria" w:eastAsiaTheme="majorEastAsia" w:hAnsi="Cambria" w:cstheme="majorBidi"/>
          <w:i/>
          <w:iCs/>
          <w:sz w:val="24"/>
          <w:szCs w:val="24"/>
        </w:rPr>
        <w:t>capacity</w:t>
      </w:r>
      <w:r w:rsidRPr="00C74A2C">
        <w:rPr>
          <w:rFonts w:ascii="Cambria" w:eastAsiaTheme="majorEastAsia" w:hAnsi="Cambria" w:cstheme="majorBidi"/>
          <w:sz w:val="24"/>
          <w:szCs w:val="24"/>
        </w:rPr>
        <w:t xml:space="preserve"> as it relates to the </w:t>
      </w:r>
      <w:r w:rsidRPr="00C74A2C">
        <w:rPr>
          <w:rFonts w:ascii="Cambria" w:eastAsiaTheme="majorEastAsia" w:hAnsi="Cambria" w:cstheme="majorBidi"/>
          <w:i/>
          <w:iCs/>
          <w:sz w:val="24"/>
          <w:szCs w:val="24"/>
        </w:rPr>
        <w:t>developmental levels</w:t>
      </w:r>
      <w:r w:rsidR="003018DA">
        <w:rPr>
          <w:rFonts w:ascii="Cambria" w:eastAsiaTheme="majorEastAsia" w:hAnsi="Cambria" w:cstheme="majorBidi"/>
          <w:sz w:val="24"/>
          <w:szCs w:val="24"/>
        </w:rPr>
        <w:t xml:space="preserve"> of </w:t>
      </w:r>
      <w:r w:rsidRPr="00C74A2C">
        <w:rPr>
          <w:rFonts w:ascii="Cambria" w:eastAsiaTheme="majorEastAsia" w:hAnsi="Cambria" w:cstheme="majorBidi"/>
          <w:sz w:val="24"/>
          <w:szCs w:val="24"/>
        </w:rPr>
        <w:t xml:space="preserve">alleged child offenders. </w:t>
      </w:r>
      <w:r w:rsidR="000F2D8E" w:rsidRPr="00C74A2C">
        <w:rPr>
          <w:rFonts w:ascii="Cambria" w:eastAsiaTheme="majorEastAsia" w:hAnsi="Cambria" w:cstheme="majorBidi"/>
          <w:sz w:val="24"/>
          <w:szCs w:val="24"/>
        </w:rPr>
        <w:t xml:space="preserve">Levitt and </w:t>
      </w:r>
      <w:proofErr w:type="spellStart"/>
      <w:r w:rsidR="000F2D8E" w:rsidRPr="00C74A2C">
        <w:rPr>
          <w:rFonts w:ascii="Cambria" w:eastAsiaTheme="majorEastAsia" w:hAnsi="Cambria" w:cstheme="majorBidi"/>
          <w:sz w:val="24"/>
          <w:szCs w:val="24"/>
        </w:rPr>
        <w:t>Tomasini</w:t>
      </w:r>
      <w:proofErr w:type="spellEnd"/>
      <w:r w:rsidR="000F2D8E" w:rsidRPr="00C74A2C">
        <w:rPr>
          <w:rFonts w:ascii="Cambria" w:eastAsiaTheme="majorEastAsia" w:hAnsi="Cambria" w:cstheme="majorBidi"/>
          <w:sz w:val="24"/>
          <w:szCs w:val="24"/>
        </w:rPr>
        <w:t xml:space="preserve"> have raised this as an issue in relation to the National DNA Database (</w:t>
      </w:r>
      <w:r w:rsidR="00B97811">
        <w:rPr>
          <w:rFonts w:ascii="Cambria" w:eastAsiaTheme="majorEastAsia" w:hAnsi="Cambria" w:cstheme="majorBidi"/>
          <w:sz w:val="24"/>
          <w:szCs w:val="24"/>
        </w:rPr>
        <w:t>“</w:t>
      </w:r>
      <w:r w:rsidR="000F2D8E" w:rsidRPr="00C74A2C">
        <w:rPr>
          <w:rFonts w:ascii="Cambria" w:eastAsiaTheme="majorEastAsia" w:hAnsi="Cambria" w:cstheme="majorBidi"/>
          <w:sz w:val="24"/>
          <w:szCs w:val="24"/>
        </w:rPr>
        <w:t>NDNAD</w:t>
      </w:r>
      <w:r w:rsidR="00B97811">
        <w:rPr>
          <w:rFonts w:ascii="Cambria" w:eastAsiaTheme="majorEastAsia" w:hAnsi="Cambria" w:cstheme="majorBidi"/>
          <w:sz w:val="24"/>
          <w:szCs w:val="24"/>
        </w:rPr>
        <w:t>”</w:t>
      </w:r>
      <w:r w:rsidR="000F2D8E" w:rsidRPr="00C74A2C">
        <w:rPr>
          <w:rFonts w:ascii="Cambria" w:eastAsiaTheme="majorEastAsia" w:hAnsi="Cambria" w:cstheme="majorBidi"/>
          <w:sz w:val="24"/>
          <w:szCs w:val="24"/>
        </w:rPr>
        <w:t>) in the United Kingdom and h</w:t>
      </w:r>
      <w:r w:rsidR="003018DA">
        <w:rPr>
          <w:rFonts w:ascii="Cambria" w:eastAsiaTheme="majorEastAsia" w:hAnsi="Cambria" w:cstheme="majorBidi"/>
          <w:sz w:val="24"/>
          <w:szCs w:val="24"/>
        </w:rPr>
        <w:t xml:space="preserve">ow individuals aged 13-20 </w:t>
      </w:r>
      <w:proofErr w:type="spellStart"/>
      <w:r w:rsidR="003018DA">
        <w:rPr>
          <w:rFonts w:ascii="Cambria" w:eastAsiaTheme="majorEastAsia" w:hAnsi="Cambria" w:cstheme="majorBidi"/>
          <w:sz w:val="24"/>
          <w:szCs w:val="24"/>
        </w:rPr>
        <w:t>years</w:t>
      </w:r>
      <w:r w:rsidR="000F2D8E" w:rsidRPr="00C74A2C">
        <w:rPr>
          <w:rFonts w:ascii="Cambria" w:eastAsiaTheme="majorEastAsia" w:hAnsi="Cambria" w:cstheme="majorBidi"/>
          <w:sz w:val="24"/>
          <w:szCs w:val="24"/>
        </w:rPr>
        <w:t xml:space="preserve"> experience</w:t>
      </w:r>
      <w:proofErr w:type="spellEnd"/>
      <w:r w:rsidR="000F2D8E" w:rsidRPr="00C74A2C">
        <w:rPr>
          <w:rFonts w:ascii="Cambria" w:eastAsiaTheme="majorEastAsia" w:hAnsi="Cambria" w:cstheme="majorBidi"/>
          <w:sz w:val="24"/>
          <w:szCs w:val="24"/>
        </w:rPr>
        <w:t xml:space="preserve"> </w:t>
      </w:r>
      <w:r w:rsidR="00D44F81" w:rsidRPr="00C74A2C">
        <w:rPr>
          <w:rFonts w:ascii="Cambria" w:eastAsiaTheme="majorEastAsia" w:hAnsi="Cambria" w:cstheme="majorBidi"/>
          <w:sz w:val="24"/>
          <w:szCs w:val="24"/>
        </w:rPr>
        <w:t>‘</w:t>
      </w:r>
      <w:r w:rsidR="000F2D8E" w:rsidRPr="00C74A2C">
        <w:rPr>
          <w:rFonts w:ascii="Cambria" w:eastAsiaTheme="majorEastAsia" w:hAnsi="Cambria" w:cstheme="majorBidi"/>
          <w:sz w:val="24"/>
          <w:szCs w:val="24"/>
        </w:rPr>
        <w:t>[</w:t>
      </w:r>
      <w:proofErr w:type="spellStart"/>
      <w:r w:rsidR="000F2D8E" w:rsidRPr="00C74A2C">
        <w:rPr>
          <w:rFonts w:ascii="Cambria" w:eastAsiaTheme="majorEastAsia" w:hAnsi="Cambria" w:cstheme="majorBidi"/>
          <w:sz w:val="24"/>
          <w:szCs w:val="24"/>
        </w:rPr>
        <w:t>i</w:t>
      </w:r>
      <w:proofErr w:type="spellEnd"/>
      <w:r w:rsidR="000F2D8E" w:rsidRPr="00C74A2C">
        <w:rPr>
          <w:rFonts w:ascii="Cambria" w:eastAsiaTheme="majorEastAsia" w:hAnsi="Cambria" w:cstheme="majorBidi"/>
          <w:sz w:val="24"/>
          <w:szCs w:val="24"/>
        </w:rPr>
        <w:t>]</w:t>
      </w:r>
      <w:proofErr w:type="spellStart"/>
      <w:r w:rsidR="000F2D8E" w:rsidRPr="00C74A2C">
        <w:rPr>
          <w:rFonts w:ascii="Cambria" w:eastAsiaTheme="majorEastAsia" w:hAnsi="Cambria" w:cstheme="majorBidi"/>
          <w:sz w:val="24"/>
          <w:szCs w:val="24"/>
        </w:rPr>
        <w:t>dentity</w:t>
      </w:r>
      <w:proofErr w:type="spellEnd"/>
      <w:r w:rsidR="000F2D8E" w:rsidRPr="00C74A2C">
        <w:rPr>
          <w:rFonts w:ascii="Cambria" w:eastAsiaTheme="majorEastAsia" w:hAnsi="Cambria" w:cstheme="majorBidi"/>
          <w:sz w:val="24"/>
          <w:szCs w:val="24"/>
        </w:rPr>
        <w:t xml:space="preserve"> experimentation th</w:t>
      </w:r>
      <w:r w:rsidR="003018DA">
        <w:rPr>
          <w:rFonts w:ascii="Cambria" w:eastAsiaTheme="majorEastAsia" w:hAnsi="Cambria" w:cstheme="majorBidi"/>
          <w:sz w:val="24"/>
          <w:szCs w:val="24"/>
        </w:rPr>
        <w:t>at they grow out of after being</w:t>
      </w:r>
      <w:r w:rsidR="000F2D8E" w:rsidRPr="00C74A2C">
        <w:rPr>
          <w:rFonts w:ascii="Cambria" w:eastAsiaTheme="majorEastAsia" w:hAnsi="Cambria" w:cstheme="majorBidi"/>
          <w:sz w:val="24"/>
          <w:szCs w:val="24"/>
        </w:rPr>
        <w:t xml:space="preserve"> characteristically rebellious and possibly experimenting with minor delinquency</w:t>
      </w:r>
      <w:r w:rsidR="00D44F81" w:rsidRPr="00C74A2C">
        <w:rPr>
          <w:rFonts w:ascii="Cambria" w:eastAsiaTheme="majorEastAsia" w:hAnsi="Cambria" w:cstheme="majorBidi"/>
          <w:sz w:val="24"/>
          <w:szCs w:val="24"/>
        </w:rPr>
        <w:t>’</w:t>
      </w:r>
      <w:r w:rsidR="000F2D8E" w:rsidRPr="00C74A2C">
        <w:rPr>
          <w:rFonts w:ascii="Cambria" w:eastAsiaTheme="majorEastAsia" w:hAnsi="Cambria" w:cstheme="majorBidi"/>
          <w:sz w:val="24"/>
          <w:szCs w:val="24"/>
        </w:rPr>
        <w:t>.</w:t>
      </w:r>
      <w:r w:rsidR="000F2D8E" w:rsidRPr="00C74A2C">
        <w:rPr>
          <w:rFonts w:ascii="Cambria" w:eastAsiaTheme="majorEastAsia" w:hAnsi="Cambria" w:cstheme="majorBidi"/>
          <w:sz w:val="24"/>
          <w:szCs w:val="24"/>
          <w:vertAlign w:val="superscript"/>
        </w:rPr>
        <w:footnoteReference w:id="49"/>
      </w:r>
      <w:r w:rsidR="000F2D8E" w:rsidRPr="00C74A2C">
        <w:rPr>
          <w:rFonts w:ascii="Cambria" w:eastAsiaTheme="majorEastAsia" w:hAnsi="Cambria" w:cstheme="majorBidi"/>
          <w:sz w:val="24"/>
          <w:szCs w:val="24"/>
        </w:rPr>
        <w:t xml:space="preserve"> Consequently, Levitt and </w:t>
      </w:r>
      <w:proofErr w:type="spellStart"/>
      <w:r w:rsidR="000F2D8E" w:rsidRPr="00C74A2C">
        <w:rPr>
          <w:rFonts w:ascii="Cambria" w:eastAsiaTheme="majorEastAsia" w:hAnsi="Cambria" w:cstheme="majorBidi"/>
          <w:sz w:val="24"/>
          <w:szCs w:val="24"/>
        </w:rPr>
        <w:t>Tomasini</w:t>
      </w:r>
      <w:proofErr w:type="spellEnd"/>
      <w:r w:rsidR="000F2D8E" w:rsidRPr="00C74A2C">
        <w:rPr>
          <w:rFonts w:ascii="Cambria" w:eastAsiaTheme="majorEastAsia" w:hAnsi="Cambria" w:cstheme="majorBidi"/>
          <w:sz w:val="24"/>
          <w:szCs w:val="24"/>
        </w:rPr>
        <w:t xml:space="preserve"> conclude </w:t>
      </w:r>
      <w:r w:rsidR="00E8359A" w:rsidRPr="00C74A2C">
        <w:rPr>
          <w:rFonts w:ascii="Cambria" w:eastAsiaTheme="majorEastAsia" w:hAnsi="Cambria" w:cstheme="majorBidi"/>
          <w:sz w:val="24"/>
          <w:szCs w:val="24"/>
        </w:rPr>
        <w:t>‘</w:t>
      </w:r>
      <w:r w:rsidR="000F2D8E" w:rsidRPr="00C74A2C">
        <w:rPr>
          <w:rFonts w:ascii="Cambria" w:eastAsiaTheme="majorEastAsia" w:hAnsi="Cambria" w:cstheme="majorBidi"/>
          <w:sz w:val="24"/>
          <w:szCs w:val="24"/>
        </w:rPr>
        <w:t>[</w:t>
      </w:r>
      <w:proofErr w:type="spellStart"/>
      <w:r w:rsidR="000F2D8E" w:rsidRPr="00C74A2C">
        <w:rPr>
          <w:rFonts w:ascii="Cambria" w:eastAsiaTheme="majorEastAsia" w:hAnsi="Cambria" w:cstheme="majorBidi"/>
          <w:sz w:val="24"/>
          <w:szCs w:val="24"/>
        </w:rPr>
        <w:t>i</w:t>
      </w:r>
      <w:proofErr w:type="spellEnd"/>
      <w:r w:rsidR="000F2D8E" w:rsidRPr="00C74A2C">
        <w:rPr>
          <w:rFonts w:ascii="Cambria" w:eastAsiaTheme="majorEastAsia" w:hAnsi="Cambria" w:cstheme="majorBidi"/>
          <w:sz w:val="24"/>
          <w:szCs w:val="24"/>
        </w:rPr>
        <w:t>]</w:t>
      </w:r>
      <w:proofErr w:type="spellStart"/>
      <w:r w:rsidR="000F2D8E" w:rsidRPr="00C74A2C">
        <w:rPr>
          <w:rFonts w:ascii="Cambria" w:eastAsiaTheme="majorEastAsia" w:hAnsi="Cambria" w:cstheme="majorBidi"/>
          <w:sz w:val="24"/>
          <w:szCs w:val="24"/>
        </w:rPr>
        <w:t>ncluding</w:t>
      </w:r>
      <w:proofErr w:type="spellEnd"/>
      <w:r w:rsidR="000F2D8E" w:rsidRPr="00C74A2C">
        <w:rPr>
          <w:rFonts w:ascii="Cambria" w:eastAsiaTheme="majorEastAsia" w:hAnsi="Cambria" w:cstheme="majorBidi"/>
          <w:sz w:val="24"/>
          <w:szCs w:val="24"/>
        </w:rPr>
        <w:t xml:space="preserve"> children on the NDNAD may be inappropriate for developmental reasons…</w:t>
      </w:r>
      <w:r w:rsidR="00B97811">
        <w:rPr>
          <w:rFonts w:ascii="Cambria" w:eastAsiaTheme="majorEastAsia" w:hAnsi="Cambria" w:cstheme="majorBidi"/>
          <w:sz w:val="24"/>
          <w:szCs w:val="24"/>
        </w:rPr>
        <w:t xml:space="preserve"> </w:t>
      </w:r>
      <w:r w:rsidR="000F2D8E" w:rsidRPr="00C74A2C">
        <w:rPr>
          <w:rFonts w:ascii="Cambria" w:eastAsiaTheme="majorEastAsia" w:hAnsi="Cambria" w:cstheme="majorBidi"/>
          <w:sz w:val="24"/>
          <w:szCs w:val="24"/>
        </w:rPr>
        <w:t>they are in a state of transition, in which their intellectual development is complicated by socio-emotional development. It is controversial to consider them criminally responsible</w:t>
      </w:r>
      <w:r w:rsidR="00E8359A" w:rsidRPr="00C74A2C">
        <w:rPr>
          <w:rFonts w:ascii="Cambria" w:eastAsiaTheme="majorEastAsia" w:hAnsi="Cambria" w:cstheme="majorBidi"/>
          <w:sz w:val="24"/>
          <w:szCs w:val="24"/>
        </w:rPr>
        <w:t>’</w:t>
      </w:r>
      <w:r w:rsidR="000F2D8E" w:rsidRPr="00C74A2C">
        <w:rPr>
          <w:rFonts w:ascii="Cambria" w:eastAsiaTheme="majorEastAsia" w:hAnsi="Cambria" w:cstheme="majorBidi"/>
          <w:sz w:val="24"/>
          <w:szCs w:val="24"/>
        </w:rPr>
        <w:t>.</w:t>
      </w:r>
      <w:r w:rsidR="000F2D8E" w:rsidRPr="00C74A2C">
        <w:rPr>
          <w:rFonts w:ascii="Cambria" w:eastAsiaTheme="majorEastAsia" w:hAnsi="Cambria" w:cstheme="majorBidi"/>
          <w:sz w:val="24"/>
          <w:szCs w:val="24"/>
          <w:vertAlign w:val="superscript"/>
        </w:rPr>
        <w:footnoteReference w:id="50"/>
      </w:r>
      <w:r w:rsidR="000F2D8E" w:rsidRPr="00C74A2C">
        <w:rPr>
          <w:rFonts w:ascii="Cambria" w:eastAsiaTheme="majorEastAsia" w:hAnsi="Cambria" w:cstheme="majorBidi"/>
          <w:sz w:val="24"/>
          <w:szCs w:val="24"/>
        </w:rPr>
        <w:t xml:space="preserve"> This viewpoint is supported by research demonstrating that young people’s brains are still developing the capacity to reason and rationalise as late as 25 years of age.</w:t>
      </w:r>
      <w:r w:rsidR="000F2D8E" w:rsidRPr="00C74A2C">
        <w:rPr>
          <w:rFonts w:ascii="Cambria" w:eastAsiaTheme="majorEastAsia" w:hAnsi="Cambria" w:cstheme="majorBidi"/>
          <w:sz w:val="24"/>
          <w:szCs w:val="24"/>
          <w:vertAlign w:val="superscript"/>
        </w:rPr>
        <w:footnoteReference w:id="51"/>
      </w:r>
    </w:p>
    <w:p w14:paraId="7F65CF61" w14:textId="7F6A2EBF" w:rsidR="00930586" w:rsidRPr="0047622D" w:rsidRDefault="00B97811" w:rsidP="00671A38">
      <w:pPr>
        <w:spacing w:line="360" w:lineRule="auto"/>
        <w:jc w:val="center"/>
        <w:outlineLvl w:val="0"/>
        <w:rPr>
          <w:rFonts w:ascii="Cambria" w:hAnsi="Cambria"/>
          <w:i/>
          <w:sz w:val="24"/>
          <w:szCs w:val="24"/>
        </w:rPr>
      </w:pPr>
      <w:r>
        <w:rPr>
          <w:rFonts w:ascii="Cambria" w:eastAsia="MS Gothic" w:hAnsi="Cambria"/>
          <w:bCs/>
          <w:noProof/>
          <w:sz w:val="24"/>
          <w:szCs w:val="24"/>
          <w:lang w:eastAsia="en-AU"/>
        </w:rPr>
        <w:t>B</w:t>
      </w:r>
      <w:r w:rsidRPr="00864583">
        <w:rPr>
          <w:rFonts w:ascii="Cambria" w:eastAsia="MS Gothic" w:hAnsi="Cambria"/>
          <w:bCs/>
          <w:noProof/>
          <w:sz w:val="24"/>
          <w:szCs w:val="24"/>
          <w:lang w:eastAsia="en-AU"/>
        </w:rPr>
        <w:t xml:space="preserve"> </w:t>
      </w:r>
      <w:r>
        <w:rPr>
          <w:rFonts w:ascii="Cambria" w:eastAsia="MS Gothic" w:hAnsi="Cambria"/>
          <w:bCs/>
          <w:i/>
          <w:noProof/>
          <w:sz w:val="24"/>
          <w:szCs w:val="24"/>
          <w:lang w:eastAsia="en-AU"/>
        </w:rPr>
        <w:t>What Issues Are Raised Around DNA Databasing with Young People?</w:t>
      </w:r>
    </w:p>
    <w:p w14:paraId="7D05AC0B" w14:textId="334267D8" w:rsidR="00157464" w:rsidRDefault="00F37572" w:rsidP="0047622D">
      <w:pPr>
        <w:spacing w:before="360"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Human rights issues are also raised by the storage of DNA profiles. Retaining an individual DNA profile on a database may have the potential to leave the individual vulnerable to being earmarked as a suspect for any future crime. Some argue this creates an avenue for ‘individual surveillance’,</w:t>
      </w:r>
      <w:r w:rsidRPr="00C74A2C">
        <w:rPr>
          <w:rFonts w:ascii="Cambria" w:eastAsiaTheme="majorEastAsia" w:hAnsi="Cambria" w:cstheme="majorBidi"/>
          <w:sz w:val="24"/>
          <w:szCs w:val="24"/>
          <w:vertAlign w:val="superscript"/>
        </w:rPr>
        <w:footnoteReference w:id="52"/>
      </w:r>
      <w:r w:rsidRPr="00C74A2C">
        <w:rPr>
          <w:rFonts w:ascii="Cambria" w:eastAsiaTheme="majorEastAsia" w:hAnsi="Cambria" w:cstheme="majorBidi"/>
          <w:sz w:val="24"/>
          <w:szCs w:val="24"/>
        </w:rPr>
        <w:t xml:space="preserve"> an exercise of power of the state over the individual whereby those in power gather information on those considered to be subordinates.</w:t>
      </w:r>
      <w:r w:rsidRPr="00C74A2C">
        <w:rPr>
          <w:rFonts w:ascii="Cambria" w:eastAsiaTheme="majorEastAsia" w:hAnsi="Cambria" w:cstheme="majorBidi"/>
          <w:sz w:val="24"/>
          <w:szCs w:val="24"/>
          <w:vertAlign w:val="superscript"/>
        </w:rPr>
        <w:footnoteReference w:id="53"/>
      </w:r>
      <w:r w:rsidRPr="00C74A2C">
        <w:rPr>
          <w:rFonts w:ascii="Cambria" w:eastAsiaTheme="majorEastAsia" w:hAnsi="Cambria" w:cstheme="majorBidi"/>
          <w:sz w:val="24"/>
          <w:szCs w:val="24"/>
        </w:rPr>
        <w:t xml:space="preserve"> In the case of DNA databases, the state and governing bodies like police, gather information on arrestees and suspects via DNA profiles, wielding considerable power over the individual. It needs to be considered whether the use of DNA databases by such governing bodies for individual surveillance indicates a lack of restraint with respect to individual human rights, despite the argument of enhancing protection for the broader community</w:t>
      </w:r>
      <w:r w:rsidR="00157464">
        <w:rPr>
          <w:rFonts w:ascii="Cambria" w:eastAsiaTheme="majorEastAsia" w:hAnsi="Cambria" w:cstheme="majorBidi"/>
          <w:sz w:val="24"/>
          <w:szCs w:val="24"/>
        </w:rPr>
        <w:t xml:space="preserve">. </w:t>
      </w:r>
    </w:p>
    <w:p w14:paraId="511E01C5" w14:textId="42EE9C99" w:rsidR="00157464" w:rsidRDefault="00157464" w:rsidP="0047622D">
      <w:pPr>
        <w:spacing w:before="360" w:line="360" w:lineRule="auto"/>
        <w:jc w:val="both"/>
        <w:rPr>
          <w:rFonts w:ascii="Cambria" w:eastAsiaTheme="majorEastAsia" w:hAnsi="Cambria" w:cstheme="majorBidi"/>
          <w:sz w:val="24"/>
          <w:szCs w:val="24"/>
        </w:rPr>
      </w:pPr>
      <w:r>
        <w:rPr>
          <w:rFonts w:ascii="Cambria" w:eastAsiaTheme="majorEastAsia" w:hAnsi="Cambria" w:cstheme="majorBidi"/>
          <w:sz w:val="24"/>
          <w:szCs w:val="24"/>
        </w:rPr>
        <w:lastRenderedPageBreak/>
        <w:t xml:space="preserve">The first major concern we raise about DNA </w:t>
      </w:r>
      <w:proofErr w:type="spellStart"/>
      <w:r>
        <w:rPr>
          <w:rFonts w:ascii="Cambria" w:eastAsiaTheme="majorEastAsia" w:hAnsi="Cambria" w:cstheme="majorBidi"/>
          <w:sz w:val="24"/>
          <w:szCs w:val="24"/>
        </w:rPr>
        <w:t>databasing</w:t>
      </w:r>
      <w:proofErr w:type="spellEnd"/>
      <w:r>
        <w:rPr>
          <w:rFonts w:ascii="Cambria" w:eastAsiaTheme="majorEastAsia" w:hAnsi="Cambria" w:cstheme="majorBidi"/>
          <w:sz w:val="24"/>
          <w:szCs w:val="24"/>
        </w:rPr>
        <w:t xml:space="preserve"> with young offenders relates to storing DNA profiles of young people. In Queensland, it has been reported that in a period of less than five years, approximately 1300 DNA samples were collated in a Queensland Police Service database.</w:t>
      </w:r>
      <w:r w:rsidRPr="00C74A2C">
        <w:rPr>
          <w:rFonts w:ascii="Cambria" w:eastAsiaTheme="majorEastAsia" w:hAnsi="Cambria" w:cstheme="majorBidi"/>
          <w:sz w:val="24"/>
          <w:szCs w:val="24"/>
          <w:vertAlign w:val="superscript"/>
        </w:rPr>
        <w:footnoteReference w:id="54"/>
      </w:r>
      <w:r>
        <w:rPr>
          <w:rFonts w:ascii="Cambria" w:eastAsiaTheme="majorEastAsia" w:hAnsi="Cambria" w:cstheme="majorBidi"/>
          <w:sz w:val="24"/>
          <w:szCs w:val="24"/>
        </w:rPr>
        <w:t xml:space="preserve"> This directly opposes the presumption of innocence which is ordinarily meant to be conferred on all alleged offenders and which also comes under the ambit of human rights, specific</w:t>
      </w:r>
      <w:r w:rsidR="003018DA">
        <w:rPr>
          <w:rFonts w:ascii="Cambria" w:eastAsiaTheme="majorEastAsia" w:hAnsi="Cambria" w:cstheme="majorBidi"/>
          <w:sz w:val="24"/>
          <w:szCs w:val="24"/>
        </w:rPr>
        <w:t>ally article 14(2) of the ICCPR</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55"/>
      </w:r>
      <w:r w:rsidRPr="00C74A2C">
        <w:rPr>
          <w:rFonts w:ascii="Cambria" w:eastAsiaTheme="majorEastAsia" w:hAnsi="Cambria" w:cstheme="majorBidi"/>
          <w:sz w:val="24"/>
          <w:szCs w:val="24"/>
        </w:rPr>
        <w:t xml:space="preserve">  This in turn produces a range of implications for young people who are part of these databases and sometimes indefinitely “marked” as criminal and assumed guilty rather than innocent. This is especially the case given that sections 454(1)(g)(</w:t>
      </w:r>
      <w:proofErr w:type="spellStart"/>
      <w:r w:rsidRPr="00C74A2C">
        <w:rPr>
          <w:rFonts w:ascii="Cambria" w:eastAsiaTheme="majorEastAsia" w:hAnsi="Cambria" w:cstheme="majorBidi"/>
          <w:sz w:val="24"/>
          <w:szCs w:val="24"/>
        </w:rPr>
        <w:t>i</w:t>
      </w:r>
      <w:proofErr w:type="spellEnd"/>
      <w:r w:rsidRPr="00C74A2C">
        <w:rPr>
          <w:rFonts w:ascii="Cambria" w:eastAsiaTheme="majorEastAsia" w:hAnsi="Cambria" w:cstheme="majorBidi"/>
          <w:sz w:val="24"/>
          <w:szCs w:val="24"/>
        </w:rPr>
        <w:t>) and (ii) make reference to limiting the ‘purposes’ for which the DNA analysis may be used.</w:t>
      </w:r>
      <w:r w:rsidRPr="00C74A2C">
        <w:rPr>
          <w:rStyle w:val="FootnoteReference"/>
          <w:rFonts w:ascii="Cambria" w:eastAsiaTheme="majorEastAsia" w:hAnsi="Cambria" w:cstheme="majorBidi"/>
          <w:sz w:val="24"/>
          <w:szCs w:val="24"/>
        </w:rPr>
        <w:footnoteReference w:id="56"/>
      </w:r>
      <w:r w:rsidRPr="00C74A2C">
        <w:rPr>
          <w:rFonts w:ascii="Cambria" w:eastAsiaTheme="majorEastAsia" w:hAnsi="Cambria" w:cstheme="majorBidi"/>
          <w:sz w:val="24"/>
          <w:szCs w:val="24"/>
        </w:rPr>
        <w:t xml:space="preserve"> It stipulates that if the person does </w:t>
      </w:r>
      <w:r w:rsidRPr="00C74A2C">
        <w:rPr>
          <w:rFonts w:ascii="Cambria" w:eastAsiaTheme="majorEastAsia" w:hAnsi="Cambria" w:cstheme="majorBidi"/>
          <w:i/>
          <w:iCs/>
          <w:sz w:val="24"/>
          <w:szCs w:val="24"/>
        </w:rPr>
        <w:t>not</w:t>
      </w:r>
      <w:r w:rsidRPr="00C74A2C">
        <w:rPr>
          <w:rFonts w:ascii="Cambria" w:eastAsiaTheme="majorEastAsia" w:hAnsi="Cambria" w:cstheme="majorBidi"/>
          <w:sz w:val="24"/>
          <w:szCs w:val="24"/>
        </w:rPr>
        <w:t xml:space="preserve"> limit the ‘purposes’ then the DNA analysis may be included in the Queensland DNA database. Given the gravity of such an inclusion, this clause may need to be explained in a manner </w:t>
      </w:r>
      <w:r w:rsidR="000A4CCE">
        <w:rPr>
          <w:rFonts w:ascii="Cambria" w:eastAsiaTheme="majorEastAsia" w:hAnsi="Cambria" w:cstheme="majorBidi"/>
          <w:sz w:val="24"/>
          <w:szCs w:val="24"/>
        </w:rPr>
        <w:t>that</w:t>
      </w:r>
      <w:r w:rsidRPr="00C74A2C">
        <w:rPr>
          <w:rFonts w:ascii="Cambria" w:eastAsiaTheme="majorEastAsia" w:hAnsi="Cambria" w:cstheme="majorBidi"/>
          <w:sz w:val="24"/>
          <w:szCs w:val="24"/>
        </w:rPr>
        <w:t xml:space="preserve"> clearly allows adequate comprehension of the intent of the legislation by the alleged young offender, as may the whole of section 454 of the Act.</w:t>
      </w:r>
      <w:r w:rsidRPr="00C74A2C">
        <w:rPr>
          <w:rStyle w:val="FootnoteReference"/>
          <w:rFonts w:ascii="Cambria" w:eastAsiaTheme="majorEastAsia" w:hAnsi="Cambria" w:cstheme="majorBidi"/>
          <w:sz w:val="24"/>
          <w:szCs w:val="24"/>
        </w:rPr>
        <w:footnoteReference w:id="57"/>
      </w:r>
      <w:r w:rsidRPr="00C74A2C">
        <w:rPr>
          <w:rFonts w:ascii="Cambria" w:eastAsiaTheme="majorEastAsia" w:hAnsi="Cambria" w:cstheme="majorBidi"/>
          <w:sz w:val="24"/>
          <w:szCs w:val="24"/>
        </w:rPr>
        <w:t xml:space="preserve"> </w:t>
      </w:r>
      <w:proofErr w:type="spellStart"/>
      <w:r w:rsidRPr="00C74A2C">
        <w:rPr>
          <w:rFonts w:ascii="Cambria" w:eastAsiaTheme="majorEastAsia" w:hAnsi="Cambria" w:cstheme="majorBidi"/>
          <w:sz w:val="24"/>
          <w:szCs w:val="24"/>
        </w:rPr>
        <w:t>Kimmelman</w:t>
      </w:r>
      <w:proofErr w:type="spellEnd"/>
      <w:r w:rsidRPr="00C74A2C">
        <w:rPr>
          <w:rFonts w:ascii="Cambria" w:eastAsiaTheme="majorEastAsia" w:hAnsi="Cambria" w:cstheme="majorBidi"/>
          <w:sz w:val="24"/>
          <w:szCs w:val="24"/>
        </w:rPr>
        <w:t xml:space="preserve"> has argued that storing DNA profiles like this ‘injures the trust relationship between a government and its subjects’,</w:t>
      </w:r>
      <w:r w:rsidRPr="00C74A2C">
        <w:rPr>
          <w:rStyle w:val="FootnoteReference"/>
          <w:rFonts w:ascii="Cambria" w:eastAsiaTheme="majorEastAsia" w:hAnsi="Cambria" w:cstheme="majorBidi"/>
          <w:sz w:val="24"/>
          <w:szCs w:val="24"/>
        </w:rPr>
        <w:footnoteReference w:id="58"/>
      </w:r>
      <w:r w:rsidRPr="00C74A2C">
        <w:rPr>
          <w:rFonts w:ascii="Cambria" w:eastAsiaTheme="majorEastAsia" w:hAnsi="Cambria" w:cstheme="majorBidi"/>
          <w:sz w:val="24"/>
          <w:szCs w:val="24"/>
        </w:rPr>
        <w:t xml:space="preserve"> because trust comes with being able to act in the absence of surveillance – DNA </w:t>
      </w:r>
      <w:proofErr w:type="spellStart"/>
      <w:r w:rsidRPr="00C74A2C">
        <w:rPr>
          <w:rFonts w:ascii="Cambria" w:eastAsiaTheme="majorEastAsia" w:hAnsi="Cambria" w:cstheme="majorBidi"/>
          <w:sz w:val="24"/>
          <w:szCs w:val="24"/>
        </w:rPr>
        <w:t>databasing</w:t>
      </w:r>
      <w:proofErr w:type="spellEnd"/>
      <w:r w:rsidRPr="00C74A2C">
        <w:rPr>
          <w:rFonts w:ascii="Cambria" w:eastAsiaTheme="majorEastAsia" w:hAnsi="Cambria" w:cstheme="majorBidi"/>
          <w:sz w:val="24"/>
          <w:szCs w:val="24"/>
        </w:rPr>
        <w:t xml:space="preserve"> of the DNA profiles of alleged young offenders amounts to surveillance in this manner, and we suggest therefore this process ultimately erodes trust.</w:t>
      </w:r>
      <w:r w:rsidRPr="00C74A2C" w:rsidDel="008D2932">
        <w:rPr>
          <w:rStyle w:val="FootnoteReference"/>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 It also raises further ethical questions discussed by </w:t>
      </w:r>
      <w:proofErr w:type="spellStart"/>
      <w:r w:rsidRPr="00C74A2C">
        <w:rPr>
          <w:rFonts w:ascii="Cambria" w:eastAsiaTheme="majorEastAsia" w:hAnsi="Cambria" w:cstheme="majorBidi"/>
          <w:sz w:val="24"/>
          <w:szCs w:val="24"/>
        </w:rPr>
        <w:t>Kimmelman</w:t>
      </w:r>
      <w:proofErr w:type="spellEnd"/>
      <w:r w:rsidRPr="00C74A2C">
        <w:rPr>
          <w:rFonts w:ascii="Cambria" w:eastAsiaTheme="majorEastAsia" w:hAnsi="Cambria" w:cstheme="majorBidi"/>
          <w:sz w:val="24"/>
          <w:szCs w:val="24"/>
        </w:rPr>
        <w:t xml:space="preserve"> about how these databases are populated by police actions: will this mean that more young people will be arrested by police as suspicious in relation to more minor offences because they can get the young person to consent to a forensic procedure, have the DNA analysed and digitised as a profile in a DNA database, and then compare this profile against profiles collected from unsolved crimes in a ‘trawling’ process</w:t>
      </w:r>
      <w:r w:rsidR="00ED5A08">
        <w:rPr>
          <w:rFonts w:ascii="Cambria" w:eastAsiaTheme="majorEastAsia" w:hAnsi="Cambria" w:cstheme="majorBidi"/>
          <w:sz w:val="24"/>
          <w:szCs w:val="24"/>
        </w:rPr>
        <w:t>,</w:t>
      </w:r>
      <w:r w:rsidR="00ED5A08" w:rsidRPr="00C74A2C">
        <w:rPr>
          <w:rStyle w:val="FootnoteReference"/>
          <w:rFonts w:ascii="Cambria" w:eastAsiaTheme="majorEastAsia" w:hAnsi="Cambria" w:cstheme="majorBidi"/>
          <w:sz w:val="24"/>
          <w:szCs w:val="24"/>
        </w:rPr>
        <w:footnoteReference w:id="59"/>
      </w:r>
      <w:r w:rsidR="00ED5A08">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simply because alleged young offenders do not have an adequate understanding of limiting ‘purposes’? Questions like these challenge general principles around how contacts between law enforcement agencies and a young person shall be </w:t>
      </w:r>
      <w:r w:rsidRPr="00C74A2C">
        <w:rPr>
          <w:rFonts w:ascii="Cambria" w:eastAsiaTheme="majorEastAsia" w:hAnsi="Cambria" w:cstheme="majorBidi"/>
          <w:sz w:val="24"/>
          <w:szCs w:val="24"/>
        </w:rPr>
        <w:lastRenderedPageBreak/>
        <w:t>managed in such a way as to respect the legal status of the juvenile, promote the well-being of the juvenile, and avoid harm to them with due regard to the circumstances of the case.</w:t>
      </w:r>
      <w:r w:rsidRPr="00C74A2C">
        <w:rPr>
          <w:rFonts w:ascii="Cambria" w:eastAsiaTheme="majorEastAsia" w:hAnsi="Cambria" w:cstheme="majorBidi"/>
          <w:sz w:val="24"/>
          <w:szCs w:val="24"/>
          <w:vertAlign w:val="superscript"/>
        </w:rPr>
        <w:footnoteReference w:id="60"/>
      </w:r>
    </w:p>
    <w:p w14:paraId="058C7B80" w14:textId="3659BACE" w:rsidR="006040D1" w:rsidRPr="00C74A2C" w:rsidRDefault="000F2D8E" w:rsidP="0047622D">
      <w:pPr>
        <w:spacing w:before="360"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A second</w:t>
      </w:r>
      <w:r w:rsidR="006040D1" w:rsidRPr="00C74A2C">
        <w:rPr>
          <w:rFonts w:ascii="Cambria" w:eastAsiaTheme="majorEastAsia" w:hAnsi="Cambria" w:cstheme="majorBidi"/>
          <w:sz w:val="24"/>
          <w:szCs w:val="24"/>
        </w:rPr>
        <w:t xml:space="preserve"> concern </w:t>
      </w:r>
      <w:r w:rsidRPr="00C74A2C">
        <w:rPr>
          <w:rFonts w:ascii="Cambria" w:eastAsiaTheme="majorEastAsia" w:hAnsi="Cambria" w:cstheme="majorBidi"/>
          <w:sz w:val="24"/>
          <w:szCs w:val="24"/>
        </w:rPr>
        <w:t xml:space="preserve">we raise </w:t>
      </w:r>
      <w:r w:rsidR="006040D1" w:rsidRPr="00C74A2C">
        <w:rPr>
          <w:rFonts w:ascii="Cambria" w:eastAsiaTheme="majorEastAsia" w:hAnsi="Cambria" w:cstheme="majorBidi"/>
          <w:sz w:val="24"/>
          <w:szCs w:val="24"/>
        </w:rPr>
        <w:t xml:space="preserve">with reference to determining who perpetrates crime through the investigation process is the interface existing between the Queensland Police Service DNA database and </w:t>
      </w:r>
      <w:proofErr w:type="spellStart"/>
      <w:r w:rsidR="006040D1" w:rsidRPr="00C74A2C">
        <w:rPr>
          <w:rFonts w:ascii="Cambria" w:eastAsiaTheme="majorEastAsia" w:hAnsi="Cambria" w:cstheme="majorBidi"/>
          <w:sz w:val="24"/>
          <w:szCs w:val="24"/>
        </w:rPr>
        <w:t>CrimTrac</w:t>
      </w:r>
      <w:proofErr w:type="spellEnd"/>
      <w:r w:rsidR="006040D1" w:rsidRPr="00C74A2C">
        <w:rPr>
          <w:rFonts w:ascii="Cambria" w:eastAsiaTheme="majorEastAsia" w:hAnsi="Cambria" w:cstheme="majorBidi"/>
          <w:sz w:val="24"/>
          <w:szCs w:val="24"/>
        </w:rPr>
        <w:t xml:space="preserve"> (the National DNA database executive agency) for the purposes of information sharing and comparison. Section 492(1) of the </w:t>
      </w:r>
      <w:r w:rsidR="00ED5A08">
        <w:rPr>
          <w:rFonts w:ascii="Cambria" w:eastAsiaTheme="majorEastAsia" w:hAnsi="Cambria" w:cstheme="majorBidi"/>
          <w:iCs/>
          <w:sz w:val="24"/>
          <w:szCs w:val="24"/>
        </w:rPr>
        <w:t>PPRA QLD</w:t>
      </w:r>
      <w:r w:rsidR="006040D1" w:rsidRPr="00C74A2C">
        <w:rPr>
          <w:rFonts w:ascii="Cambria" w:eastAsiaTheme="majorEastAsia" w:hAnsi="Cambria" w:cstheme="majorBidi"/>
          <w:i/>
          <w:iCs/>
          <w:sz w:val="24"/>
          <w:szCs w:val="24"/>
        </w:rPr>
        <w:t xml:space="preserve"> </w:t>
      </w:r>
      <w:r w:rsidR="006040D1" w:rsidRPr="00C74A2C">
        <w:rPr>
          <w:rFonts w:ascii="Cambria" w:eastAsiaTheme="majorEastAsia" w:hAnsi="Cambria" w:cstheme="majorBidi"/>
          <w:sz w:val="24"/>
          <w:szCs w:val="24"/>
        </w:rPr>
        <w:t>entitled notes information to be transmitted from the Queensland</w:t>
      </w:r>
      <w:r w:rsidR="006040D1" w:rsidRPr="00C74A2C">
        <w:rPr>
          <w:rFonts w:ascii="Cambria" w:eastAsiaTheme="majorEastAsia" w:hAnsi="Cambria" w:cstheme="majorBidi"/>
          <w:i/>
          <w:iCs/>
          <w:sz w:val="24"/>
          <w:szCs w:val="24"/>
        </w:rPr>
        <w:t xml:space="preserve"> </w:t>
      </w:r>
      <w:r w:rsidR="006040D1" w:rsidRPr="00C74A2C">
        <w:rPr>
          <w:rFonts w:ascii="Cambria" w:eastAsiaTheme="majorEastAsia" w:hAnsi="Cambria" w:cstheme="majorBidi"/>
          <w:sz w:val="24"/>
          <w:szCs w:val="24"/>
        </w:rPr>
        <w:t>Police Service DNA database to its national counterpart.</w:t>
      </w:r>
      <w:r w:rsidR="00643158" w:rsidRPr="00C74A2C">
        <w:rPr>
          <w:rFonts w:ascii="Cambria" w:eastAsiaTheme="majorEastAsia" w:hAnsi="Cambria" w:cstheme="majorBidi"/>
          <w:i/>
          <w:iCs/>
          <w:sz w:val="24"/>
          <w:szCs w:val="24"/>
          <w:vertAlign w:val="superscript"/>
        </w:rPr>
        <w:footnoteReference w:id="61"/>
      </w:r>
      <w:r w:rsidR="006040D1" w:rsidRPr="00C74A2C">
        <w:rPr>
          <w:rFonts w:ascii="Cambria" w:eastAsiaTheme="majorEastAsia" w:hAnsi="Cambria" w:cstheme="majorBidi"/>
          <w:sz w:val="24"/>
          <w:szCs w:val="24"/>
        </w:rPr>
        <w:t xml:space="preserve"> The concern with this provision is if an alleged young offender does not understand the implications of ‘limiting the purposes’ of a DNA </w:t>
      </w:r>
      <w:r w:rsidR="00AC37D5" w:rsidRPr="00C74A2C">
        <w:rPr>
          <w:rFonts w:ascii="Cambria" w:eastAsiaTheme="majorEastAsia" w:hAnsi="Cambria" w:cstheme="majorBidi"/>
          <w:sz w:val="24"/>
          <w:szCs w:val="24"/>
        </w:rPr>
        <w:t>profile</w:t>
      </w:r>
      <w:r w:rsidR="006040D1" w:rsidRPr="00C74A2C">
        <w:rPr>
          <w:rFonts w:ascii="Cambria" w:eastAsiaTheme="majorEastAsia" w:hAnsi="Cambria" w:cstheme="majorBidi"/>
          <w:sz w:val="24"/>
          <w:szCs w:val="24"/>
        </w:rPr>
        <w:t xml:space="preserve"> (referred to above), then it may be reasonable to conclude they may also not comprehend the implications of having their DNA profile included in a larger, national database. As Lincoln</w:t>
      </w:r>
      <w:r w:rsidR="00F348E8">
        <w:rPr>
          <w:rFonts w:ascii="Cambria" w:eastAsiaTheme="majorEastAsia" w:hAnsi="Cambria" w:cstheme="majorBidi"/>
          <w:sz w:val="24"/>
          <w:szCs w:val="24"/>
        </w:rPr>
        <w:t xml:space="preserve"> </w:t>
      </w:r>
      <w:r w:rsidR="006040D1" w:rsidRPr="00C74A2C">
        <w:rPr>
          <w:rFonts w:ascii="Cambria" w:eastAsiaTheme="majorEastAsia" w:hAnsi="Cambria" w:cstheme="majorBidi"/>
          <w:sz w:val="24"/>
          <w:szCs w:val="24"/>
        </w:rPr>
        <w:t>suggests</w:t>
      </w:r>
      <w:r w:rsidR="00ED5A08">
        <w:rPr>
          <w:rFonts w:ascii="Cambria" w:eastAsiaTheme="majorEastAsia" w:hAnsi="Cambria" w:cstheme="majorBidi"/>
          <w:sz w:val="24"/>
          <w:szCs w:val="24"/>
        </w:rPr>
        <w:t xml:space="preserve">, </w:t>
      </w:r>
      <w:r w:rsidR="006040D1" w:rsidRPr="00C74A2C">
        <w:rPr>
          <w:rFonts w:ascii="Cambria" w:eastAsiaTheme="majorEastAsia" w:hAnsi="Cambria" w:cstheme="majorBidi"/>
          <w:sz w:val="24"/>
          <w:szCs w:val="24"/>
        </w:rPr>
        <w:t>there are privacy concerns regarding the information stored on DNA databases in relation to who has access to such information, which may have been provided unwittingly.</w:t>
      </w:r>
      <w:r w:rsidR="00643158" w:rsidRPr="00C74A2C">
        <w:rPr>
          <w:rFonts w:ascii="Cambria" w:eastAsiaTheme="majorEastAsia" w:hAnsi="Cambria" w:cstheme="majorBidi"/>
          <w:sz w:val="24"/>
          <w:szCs w:val="24"/>
          <w:vertAlign w:val="superscript"/>
        </w:rPr>
        <w:t xml:space="preserve"> </w:t>
      </w:r>
      <w:r w:rsidR="00643158" w:rsidRPr="00C74A2C">
        <w:rPr>
          <w:rFonts w:ascii="Cambria" w:eastAsiaTheme="majorEastAsia" w:hAnsi="Cambria" w:cstheme="majorBidi"/>
          <w:sz w:val="24"/>
          <w:szCs w:val="24"/>
          <w:vertAlign w:val="superscript"/>
        </w:rPr>
        <w:footnoteReference w:id="62"/>
      </w:r>
    </w:p>
    <w:p w14:paraId="56B3EAD1" w14:textId="2B604954" w:rsidR="00555173" w:rsidRPr="00F348E8" w:rsidRDefault="00B1644C" w:rsidP="72A6D696">
      <w:pPr>
        <w:spacing w:line="360" w:lineRule="auto"/>
        <w:jc w:val="both"/>
        <w:rPr>
          <w:rFonts w:ascii="Cambria" w:hAnsi="Cambria"/>
          <w:sz w:val="24"/>
          <w:szCs w:val="24"/>
        </w:rPr>
      </w:pPr>
      <w:bookmarkStart w:id="5" w:name="page12"/>
      <w:bookmarkEnd w:id="5"/>
      <w:r w:rsidRPr="00C74A2C">
        <w:rPr>
          <w:rFonts w:ascii="Cambria" w:eastAsiaTheme="majorEastAsia" w:hAnsi="Cambria" w:cstheme="majorBidi"/>
          <w:iCs/>
          <w:sz w:val="24"/>
          <w:szCs w:val="24"/>
        </w:rPr>
        <w:t xml:space="preserve">A </w:t>
      </w:r>
      <w:r w:rsidR="000F2D8E" w:rsidRPr="00C74A2C">
        <w:rPr>
          <w:rFonts w:ascii="Cambria" w:eastAsiaTheme="majorEastAsia" w:hAnsi="Cambria" w:cstheme="majorBidi"/>
          <w:iCs/>
          <w:sz w:val="24"/>
          <w:szCs w:val="24"/>
        </w:rPr>
        <w:t>third key point of contention</w:t>
      </w:r>
      <w:r w:rsidRPr="00C74A2C">
        <w:rPr>
          <w:rFonts w:ascii="Cambria" w:eastAsiaTheme="majorEastAsia" w:hAnsi="Cambria" w:cstheme="majorBidi"/>
          <w:iCs/>
          <w:sz w:val="24"/>
          <w:szCs w:val="24"/>
        </w:rPr>
        <w:t xml:space="preserve"> </w:t>
      </w:r>
      <w:r w:rsidR="000F2D8E" w:rsidRPr="00C74A2C">
        <w:rPr>
          <w:rFonts w:ascii="Cambria" w:eastAsiaTheme="majorEastAsia" w:hAnsi="Cambria" w:cstheme="majorBidi"/>
          <w:iCs/>
          <w:sz w:val="24"/>
          <w:szCs w:val="24"/>
        </w:rPr>
        <w:t>highlighted</w:t>
      </w:r>
      <w:r w:rsidRPr="00C74A2C">
        <w:rPr>
          <w:rFonts w:ascii="Cambria" w:eastAsiaTheme="majorEastAsia" w:hAnsi="Cambria" w:cstheme="majorBidi"/>
          <w:iCs/>
          <w:sz w:val="24"/>
          <w:szCs w:val="24"/>
        </w:rPr>
        <w:t xml:space="preserve"> by the requirements in the PPRA QLD relates to age. </w:t>
      </w:r>
      <w:r w:rsidR="00555173" w:rsidRPr="00C74A2C">
        <w:rPr>
          <w:rFonts w:ascii="Cambria" w:eastAsiaTheme="majorEastAsia" w:hAnsi="Cambria" w:cstheme="majorBidi"/>
          <w:sz w:val="24"/>
          <w:szCs w:val="24"/>
        </w:rPr>
        <w:t>Given the gravity and implications of taking a DNA sample</w:t>
      </w:r>
      <w:r w:rsidR="00AC37D5" w:rsidRPr="00C74A2C">
        <w:rPr>
          <w:rFonts w:ascii="Cambria" w:eastAsiaTheme="majorEastAsia" w:hAnsi="Cambria" w:cstheme="majorBidi"/>
          <w:sz w:val="24"/>
          <w:szCs w:val="24"/>
        </w:rPr>
        <w:t xml:space="preserve"> by way of a forensic procedure</w:t>
      </w:r>
      <w:r w:rsidR="00555173" w:rsidRPr="00C74A2C">
        <w:rPr>
          <w:rFonts w:ascii="Cambria" w:eastAsiaTheme="majorEastAsia" w:hAnsi="Cambria" w:cstheme="majorBidi"/>
          <w:sz w:val="24"/>
          <w:szCs w:val="24"/>
        </w:rPr>
        <w:t xml:space="preserve"> (as part of a police investigation), it is reasonable to suggest the age of the child be confirmed </w:t>
      </w:r>
      <w:r w:rsidR="00555173" w:rsidRPr="00C74A2C">
        <w:rPr>
          <w:rFonts w:ascii="Cambria" w:eastAsiaTheme="majorEastAsia" w:hAnsi="Cambria" w:cstheme="majorBidi"/>
          <w:i/>
          <w:iCs/>
          <w:sz w:val="24"/>
          <w:szCs w:val="24"/>
        </w:rPr>
        <w:t>before</w:t>
      </w:r>
      <w:r w:rsidR="00555173" w:rsidRPr="00C74A2C">
        <w:rPr>
          <w:rFonts w:ascii="Cambria" w:eastAsiaTheme="majorEastAsia" w:hAnsi="Cambria" w:cstheme="majorBidi"/>
          <w:sz w:val="24"/>
          <w:szCs w:val="24"/>
        </w:rPr>
        <w:t xml:space="preserve"> proceeding with the collection of any DNA sample. With respect to the Queensland context, Section 451(1) of the </w:t>
      </w:r>
      <w:r w:rsidR="00ED5A08">
        <w:rPr>
          <w:rFonts w:ascii="Cambria" w:eastAsiaTheme="majorEastAsia" w:hAnsi="Cambria" w:cstheme="majorBidi"/>
          <w:iCs/>
          <w:sz w:val="24"/>
          <w:szCs w:val="24"/>
        </w:rPr>
        <w:t>PPRA QLD</w:t>
      </w:r>
      <w:r w:rsidR="00F348E8">
        <w:rPr>
          <w:rFonts w:ascii="Cambria" w:eastAsiaTheme="majorEastAsia" w:hAnsi="Cambria" w:cstheme="majorBidi"/>
          <w:i/>
          <w:iCs/>
          <w:sz w:val="24"/>
          <w:szCs w:val="24"/>
        </w:rPr>
        <w:t xml:space="preserve"> </w:t>
      </w:r>
      <w:r w:rsidR="00555173" w:rsidRPr="00C74A2C">
        <w:rPr>
          <w:rFonts w:ascii="Cambria" w:eastAsiaTheme="majorEastAsia" w:hAnsi="Cambria" w:cstheme="majorBidi"/>
          <w:sz w:val="24"/>
          <w:szCs w:val="24"/>
        </w:rPr>
        <w:t>deals with the special requirement for children less than 14 years of age and stipulates that the section applies ‘if a police officer reasonably suspects the relevant person is a child who is under 14 years</w:t>
      </w:r>
      <w:r w:rsidR="00AB49F5" w:rsidRPr="00C74A2C">
        <w:rPr>
          <w:rFonts w:ascii="Cambria" w:eastAsiaTheme="majorEastAsia" w:hAnsi="Cambria" w:cstheme="majorBidi"/>
          <w:sz w:val="24"/>
          <w:szCs w:val="24"/>
        </w:rPr>
        <w:t>.</w:t>
      </w:r>
      <w:r w:rsidR="00555173" w:rsidRPr="00C74A2C">
        <w:rPr>
          <w:rFonts w:ascii="Cambria" w:eastAsiaTheme="majorEastAsia" w:hAnsi="Cambria" w:cstheme="majorBidi"/>
          <w:sz w:val="24"/>
          <w:szCs w:val="24"/>
        </w:rPr>
        <w:t>’</w:t>
      </w:r>
      <w:r w:rsidR="00643158" w:rsidRPr="00C74A2C">
        <w:rPr>
          <w:rFonts w:ascii="Cambria" w:eastAsiaTheme="majorEastAsia" w:hAnsi="Cambria" w:cstheme="majorBidi"/>
          <w:sz w:val="24"/>
          <w:szCs w:val="24"/>
          <w:vertAlign w:val="superscript"/>
        </w:rPr>
        <w:footnoteReference w:id="63"/>
      </w:r>
      <w:r w:rsidR="00643158" w:rsidRPr="00C74A2C">
        <w:rPr>
          <w:rFonts w:ascii="Cambria" w:eastAsiaTheme="majorEastAsia" w:hAnsi="Cambria" w:cstheme="majorBidi"/>
          <w:sz w:val="24"/>
          <w:szCs w:val="24"/>
        </w:rPr>
        <w:t xml:space="preserve"> </w:t>
      </w:r>
      <w:r w:rsidR="00555173" w:rsidRPr="00C74A2C">
        <w:rPr>
          <w:rFonts w:ascii="Cambria" w:eastAsiaTheme="majorEastAsia" w:hAnsi="Cambria" w:cstheme="majorBidi"/>
          <w:sz w:val="24"/>
          <w:szCs w:val="24"/>
        </w:rPr>
        <w:t xml:space="preserve"> To suspect or have suspicion of a child’s age is not positive confirmation of the child’s age. Rule 10.3 of the </w:t>
      </w:r>
      <w:r w:rsidR="00555173" w:rsidRPr="00C74A2C">
        <w:rPr>
          <w:rFonts w:ascii="Cambria" w:eastAsiaTheme="majorEastAsia" w:hAnsi="Cambria" w:cstheme="majorBidi"/>
          <w:i/>
          <w:iCs/>
          <w:sz w:val="24"/>
          <w:szCs w:val="24"/>
        </w:rPr>
        <w:t>United Nations Standard Minimum Rules for the Administration of</w:t>
      </w:r>
      <w:r w:rsidR="00555173" w:rsidRPr="00C74A2C">
        <w:rPr>
          <w:rFonts w:ascii="Cambria" w:eastAsiaTheme="majorEastAsia" w:hAnsi="Cambria" w:cstheme="majorBidi"/>
          <w:sz w:val="24"/>
          <w:szCs w:val="24"/>
        </w:rPr>
        <w:t xml:space="preserve"> </w:t>
      </w:r>
      <w:r w:rsidR="00555173" w:rsidRPr="00C74A2C">
        <w:rPr>
          <w:rFonts w:ascii="Cambria" w:eastAsiaTheme="majorEastAsia" w:hAnsi="Cambria" w:cstheme="majorBidi"/>
          <w:i/>
          <w:iCs/>
          <w:sz w:val="24"/>
          <w:szCs w:val="24"/>
        </w:rPr>
        <w:t xml:space="preserve">Juvenile Justice </w:t>
      </w:r>
      <w:r w:rsidR="00555173" w:rsidRPr="00C74A2C">
        <w:rPr>
          <w:rFonts w:ascii="Cambria" w:eastAsiaTheme="majorEastAsia" w:hAnsi="Cambria" w:cstheme="majorBidi"/>
          <w:sz w:val="24"/>
          <w:szCs w:val="24"/>
        </w:rPr>
        <w:t xml:space="preserve">reaffirms the vulnerability of children with reference to </w:t>
      </w:r>
      <w:r w:rsidR="00555173" w:rsidRPr="00C74A2C">
        <w:rPr>
          <w:rFonts w:ascii="Cambria" w:eastAsiaTheme="majorEastAsia" w:hAnsi="Cambria" w:cstheme="majorBidi"/>
          <w:sz w:val="24"/>
          <w:szCs w:val="24"/>
        </w:rPr>
        <w:lastRenderedPageBreak/>
        <w:t>police</w:t>
      </w:r>
      <w:r w:rsidR="00555173" w:rsidRPr="00C74A2C">
        <w:rPr>
          <w:rFonts w:ascii="Cambria" w:eastAsiaTheme="majorEastAsia" w:hAnsi="Cambria" w:cstheme="majorBidi"/>
          <w:i/>
          <w:iCs/>
          <w:sz w:val="24"/>
          <w:szCs w:val="24"/>
        </w:rPr>
        <w:t xml:space="preserve"> </w:t>
      </w:r>
      <w:r w:rsidR="00555173" w:rsidRPr="00C74A2C">
        <w:rPr>
          <w:rFonts w:ascii="Cambria" w:eastAsiaTheme="majorEastAsia" w:hAnsi="Cambria" w:cstheme="majorBidi"/>
          <w:sz w:val="24"/>
          <w:szCs w:val="24"/>
        </w:rPr>
        <w:t>investigations</w:t>
      </w:r>
      <w:r w:rsidR="00E46C68" w:rsidRPr="00C74A2C">
        <w:rPr>
          <w:rFonts w:ascii="Cambria" w:eastAsiaTheme="majorEastAsia" w:hAnsi="Cambria" w:cstheme="majorBidi"/>
          <w:sz w:val="24"/>
          <w:szCs w:val="24"/>
        </w:rPr>
        <w:t>.</w:t>
      </w:r>
      <w:r w:rsidR="00AB49F5" w:rsidRPr="00C74A2C">
        <w:rPr>
          <w:rStyle w:val="FootnoteReference"/>
          <w:rFonts w:ascii="Cambria" w:eastAsiaTheme="majorEastAsia" w:hAnsi="Cambria" w:cstheme="majorBidi"/>
          <w:sz w:val="24"/>
          <w:szCs w:val="24"/>
        </w:rPr>
        <w:footnoteReference w:id="64"/>
      </w:r>
      <w:r w:rsidR="00E46C68" w:rsidRPr="00C74A2C">
        <w:rPr>
          <w:rFonts w:ascii="Cambria" w:eastAsiaTheme="majorEastAsia" w:hAnsi="Cambria" w:cstheme="majorBidi"/>
          <w:sz w:val="24"/>
          <w:szCs w:val="24"/>
        </w:rPr>
        <w:t xml:space="preserve"> </w:t>
      </w:r>
      <w:r w:rsidR="00555173" w:rsidRPr="00C74A2C">
        <w:rPr>
          <w:rFonts w:ascii="Cambria" w:eastAsiaTheme="majorEastAsia" w:hAnsi="Cambria" w:cstheme="majorBidi"/>
          <w:sz w:val="24"/>
          <w:szCs w:val="24"/>
        </w:rPr>
        <w:t>Of particular importance here is how most young people and children processed by youth justice systems around the world are considered a vulnerable group.</w:t>
      </w:r>
      <w:r w:rsidR="00555173" w:rsidRPr="00C74A2C">
        <w:rPr>
          <w:rFonts w:ascii="Cambria" w:eastAsiaTheme="majorEastAsia" w:hAnsi="Cambria" w:cstheme="majorBidi"/>
          <w:sz w:val="24"/>
          <w:szCs w:val="24"/>
          <w:vertAlign w:val="superscript"/>
        </w:rPr>
        <w:footnoteReference w:id="65"/>
      </w:r>
      <w:r w:rsidR="00555173" w:rsidRPr="00C74A2C">
        <w:rPr>
          <w:rFonts w:ascii="Cambria" w:eastAsiaTheme="majorEastAsia" w:hAnsi="Cambria" w:cstheme="majorBidi"/>
          <w:sz w:val="24"/>
          <w:szCs w:val="24"/>
        </w:rPr>
        <w:t xml:space="preserve"> We have ample evidence to suggest that children and young people engaged in offending behaviours often do not have the capacity to fully comprehend policing processes like DNA </w:t>
      </w:r>
      <w:proofErr w:type="spellStart"/>
      <w:r w:rsidR="00555173" w:rsidRPr="00C74A2C">
        <w:rPr>
          <w:rFonts w:ascii="Cambria" w:eastAsiaTheme="majorEastAsia" w:hAnsi="Cambria" w:cstheme="majorBidi"/>
          <w:sz w:val="24"/>
          <w:szCs w:val="24"/>
        </w:rPr>
        <w:t>databasing</w:t>
      </w:r>
      <w:proofErr w:type="spellEnd"/>
      <w:r w:rsidR="00555173" w:rsidRPr="00C74A2C">
        <w:rPr>
          <w:rFonts w:ascii="Cambria" w:eastAsiaTheme="majorEastAsia" w:hAnsi="Cambria" w:cstheme="majorBidi"/>
          <w:sz w:val="24"/>
          <w:szCs w:val="24"/>
        </w:rPr>
        <w:t xml:space="preserve"> because they are often marginalised in terms of their literacy levels and other life circumstances which impede their capacity</w:t>
      </w:r>
      <w:r w:rsidR="00AC37D5" w:rsidRPr="00C74A2C">
        <w:rPr>
          <w:rFonts w:ascii="Cambria" w:eastAsiaTheme="majorEastAsia" w:hAnsi="Cambria" w:cstheme="majorBidi"/>
          <w:sz w:val="24"/>
          <w:szCs w:val="24"/>
        </w:rPr>
        <w:t>.</w:t>
      </w:r>
      <w:r w:rsidR="00555173" w:rsidRPr="00C74A2C">
        <w:rPr>
          <w:rFonts w:ascii="Cambria" w:eastAsiaTheme="majorEastAsia" w:hAnsi="Cambria" w:cstheme="majorBidi"/>
          <w:sz w:val="24"/>
          <w:szCs w:val="24"/>
          <w:vertAlign w:val="superscript"/>
        </w:rPr>
        <w:footnoteReference w:id="66"/>
      </w:r>
      <w:bookmarkStart w:id="6" w:name="page13"/>
      <w:bookmarkStart w:id="7" w:name="page16"/>
      <w:bookmarkStart w:id="8" w:name="page17"/>
      <w:bookmarkEnd w:id="6"/>
      <w:bookmarkEnd w:id="7"/>
      <w:bookmarkEnd w:id="8"/>
    </w:p>
    <w:p w14:paraId="4F442A18" w14:textId="72D8EF79" w:rsidR="00555173" w:rsidRPr="00C74A2C" w:rsidRDefault="00C74A2C" w:rsidP="00671A38">
      <w:pPr>
        <w:spacing w:before="360" w:line="360" w:lineRule="auto"/>
        <w:jc w:val="center"/>
        <w:outlineLvl w:val="0"/>
        <w:rPr>
          <w:rFonts w:ascii="Cambria" w:eastAsiaTheme="majorEastAsia" w:hAnsi="Cambria" w:cstheme="majorBidi"/>
          <w:sz w:val="24"/>
          <w:szCs w:val="24"/>
        </w:rPr>
      </w:pPr>
      <w:r>
        <w:rPr>
          <w:rFonts w:ascii="Cambria" w:eastAsiaTheme="majorEastAsia" w:hAnsi="Cambria" w:cstheme="majorBidi"/>
          <w:smallCaps/>
          <w:sz w:val="24"/>
          <w:szCs w:val="24"/>
        </w:rPr>
        <w:t xml:space="preserve">IV </w:t>
      </w:r>
      <w:r w:rsidR="00555173" w:rsidRPr="00C74A2C">
        <w:rPr>
          <w:rFonts w:ascii="Cambria" w:eastAsiaTheme="majorEastAsia" w:hAnsi="Cambria" w:cstheme="majorBidi"/>
          <w:smallCaps/>
          <w:sz w:val="24"/>
          <w:szCs w:val="24"/>
        </w:rPr>
        <w:t xml:space="preserve">Future </w:t>
      </w:r>
      <w:r w:rsidR="00AA4155" w:rsidRPr="00C74A2C">
        <w:rPr>
          <w:rFonts w:ascii="Cambria" w:eastAsiaTheme="majorEastAsia" w:hAnsi="Cambria" w:cstheme="majorBidi"/>
          <w:smallCaps/>
          <w:sz w:val="24"/>
          <w:szCs w:val="24"/>
        </w:rPr>
        <w:t>Directions</w:t>
      </w:r>
    </w:p>
    <w:p w14:paraId="050FB037" w14:textId="60E00B44" w:rsidR="00555173" w:rsidRPr="00C74A2C" w:rsidRDefault="00651030"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This paper has indicated that there </w:t>
      </w:r>
      <w:r w:rsidRPr="00C74A2C">
        <w:rPr>
          <w:rFonts w:ascii="Cambria" w:eastAsiaTheme="majorEastAsia" w:hAnsi="Cambria" w:cstheme="majorBidi"/>
          <w:iCs/>
          <w:sz w:val="24"/>
          <w:szCs w:val="24"/>
        </w:rPr>
        <w:t>are</w:t>
      </w:r>
      <w:r w:rsidRPr="00C74A2C">
        <w:rPr>
          <w:rFonts w:ascii="Cambria" w:eastAsiaTheme="majorEastAsia" w:hAnsi="Cambria" w:cstheme="majorBidi"/>
          <w:sz w:val="24"/>
          <w:szCs w:val="24"/>
        </w:rPr>
        <w:t xml:space="preserve"> a number of concerns related to undertaking forensic procedures and DNA </w:t>
      </w:r>
      <w:proofErr w:type="spellStart"/>
      <w:r w:rsidRPr="00C74A2C">
        <w:rPr>
          <w:rFonts w:ascii="Cambria" w:eastAsiaTheme="majorEastAsia" w:hAnsi="Cambria" w:cstheme="majorBidi"/>
          <w:sz w:val="24"/>
          <w:szCs w:val="24"/>
        </w:rPr>
        <w:t>databasing</w:t>
      </w:r>
      <w:proofErr w:type="spellEnd"/>
      <w:r w:rsidRPr="00C74A2C">
        <w:rPr>
          <w:rFonts w:ascii="Cambria" w:eastAsiaTheme="majorEastAsia" w:hAnsi="Cambria" w:cstheme="majorBidi"/>
          <w:sz w:val="24"/>
          <w:szCs w:val="24"/>
        </w:rPr>
        <w:t xml:space="preserve"> with young people, including the lack of regard for privacy, the lack of consideration for the variation in individual capacity to provide informed consent, the abrogation o</w:t>
      </w:r>
      <w:r w:rsidR="00E9617C" w:rsidRPr="00C74A2C">
        <w:rPr>
          <w:rFonts w:ascii="Cambria" w:eastAsiaTheme="majorEastAsia" w:hAnsi="Cambria" w:cstheme="majorBidi"/>
          <w:sz w:val="24"/>
          <w:szCs w:val="24"/>
        </w:rPr>
        <w:t>f the presumption of innocence,</w:t>
      </w:r>
      <w:r w:rsidRPr="00C74A2C">
        <w:rPr>
          <w:rFonts w:ascii="Cambria" w:eastAsiaTheme="majorEastAsia" w:hAnsi="Cambria" w:cstheme="majorBidi"/>
          <w:sz w:val="24"/>
          <w:szCs w:val="24"/>
        </w:rPr>
        <w:t xml:space="preserve"> stigmatization from labelling as young offenders, and the potential for unwarranted individual surveillance. As such, with respect to future directions of DNA profiling with young offenders, serious con</w:t>
      </w:r>
      <w:r w:rsidR="003018DA">
        <w:rPr>
          <w:rFonts w:ascii="Cambria" w:eastAsiaTheme="majorEastAsia" w:hAnsi="Cambria" w:cstheme="majorBidi"/>
          <w:sz w:val="24"/>
          <w:szCs w:val="24"/>
        </w:rPr>
        <w:t xml:space="preserve">sideration needs to be given </w:t>
      </w:r>
      <w:r w:rsidRPr="00C74A2C">
        <w:rPr>
          <w:rFonts w:ascii="Cambria" w:eastAsiaTheme="majorEastAsia" w:hAnsi="Cambria" w:cstheme="majorBidi"/>
          <w:sz w:val="24"/>
          <w:szCs w:val="24"/>
        </w:rPr>
        <w:t xml:space="preserve">to how we reconcile the use of DNA databases in policing whilst at the same time upholding the rights and well-being of young people. </w:t>
      </w:r>
      <w:r w:rsidR="00E9617C" w:rsidRPr="00C74A2C">
        <w:rPr>
          <w:rFonts w:ascii="Cambria" w:eastAsiaTheme="majorEastAsia" w:hAnsi="Cambria" w:cstheme="majorBidi"/>
          <w:sz w:val="24"/>
          <w:szCs w:val="24"/>
        </w:rPr>
        <w:t>H</w:t>
      </w:r>
      <w:r w:rsidRPr="00C74A2C">
        <w:rPr>
          <w:rFonts w:ascii="Cambria" w:eastAsiaTheme="majorEastAsia" w:hAnsi="Cambria" w:cstheme="majorBidi"/>
          <w:sz w:val="24"/>
          <w:szCs w:val="24"/>
        </w:rPr>
        <w:t>aving examined the provis</w:t>
      </w:r>
      <w:r w:rsidR="00E9617C" w:rsidRPr="00C74A2C">
        <w:rPr>
          <w:rFonts w:ascii="Cambria" w:eastAsiaTheme="majorEastAsia" w:hAnsi="Cambria" w:cstheme="majorBidi"/>
          <w:sz w:val="24"/>
          <w:szCs w:val="24"/>
        </w:rPr>
        <w:t xml:space="preserve">ions of the Act relating to undertaking forensic procedures to collect DNA samples, and then retaining these DNA profiles </w:t>
      </w:r>
      <w:r w:rsidRPr="00C74A2C">
        <w:rPr>
          <w:rFonts w:ascii="Cambria" w:eastAsiaTheme="majorEastAsia" w:hAnsi="Cambria" w:cstheme="majorBidi"/>
          <w:sz w:val="24"/>
          <w:szCs w:val="24"/>
        </w:rPr>
        <w:t xml:space="preserve">from alleged young offenders, the evidence presented </w:t>
      </w:r>
      <w:r w:rsidR="00E9617C" w:rsidRPr="00C74A2C">
        <w:rPr>
          <w:rFonts w:ascii="Cambria" w:eastAsiaTheme="majorEastAsia" w:hAnsi="Cambria" w:cstheme="majorBidi"/>
          <w:sz w:val="24"/>
          <w:szCs w:val="24"/>
        </w:rPr>
        <w:t>suggests</w:t>
      </w:r>
      <w:r w:rsidRPr="00C74A2C">
        <w:rPr>
          <w:rFonts w:ascii="Cambria" w:eastAsiaTheme="majorEastAsia" w:hAnsi="Cambria" w:cstheme="majorBidi"/>
          <w:sz w:val="24"/>
          <w:szCs w:val="24"/>
        </w:rPr>
        <w:t xml:space="preserve"> that the well-being and rights of young people are not adequately protected under the Act. Further, it may also be argued that when measured against aspects of the principles of the </w:t>
      </w:r>
      <w:r w:rsidRPr="00C74A2C">
        <w:rPr>
          <w:rFonts w:ascii="Cambria" w:eastAsiaTheme="majorEastAsia" w:hAnsi="Cambria" w:cstheme="majorBidi"/>
          <w:i/>
          <w:sz w:val="24"/>
          <w:szCs w:val="24"/>
        </w:rPr>
        <w:t>Convention of the Rights of the Child</w:t>
      </w:r>
      <w:r w:rsidR="005E110E"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67"/>
      </w:r>
      <w:r w:rsidRPr="00C74A2C">
        <w:rPr>
          <w:rFonts w:ascii="Cambria" w:eastAsiaTheme="majorEastAsia" w:hAnsi="Cambria" w:cstheme="majorBidi"/>
          <w:sz w:val="24"/>
          <w:szCs w:val="24"/>
        </w:rPr>
        <w:t xml:space="preserve"> and the </w:t>
      </w:r>
      <w:r w:rsidRPr="00C74A2C">
        <w:rPr>
          <w:rFonts w:ascii="Cambria" w:eastAsiaTheme="majorEastAsia" w:hAnsi="Cambria" w:cstheme="majorBidi"/>
          <w:i/>
          <w:iCs/>
          <w:sz w:val="24"/>
          <w:szCs w:val="24"/>
        </w:rPr>
        <w:t>Standard Minimum Rules</w:t>
      </w:r>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for Administration of Juvenile Justice</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68"/>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the </w:t>
      </w:r>
      <w:r w:rsidR="005E110E" w:rsidRPr="00C74A2C">
        <w:rPr>
          <w:rFonts w:ascii="Cambria" w:eastAsiaTheme="majorEastAsia" w:hAnsi="Cambria" w:cstheme="majorBidi"/>
          <w:sz w:val="24"/>
          <w:szCs w:val="24"/>
        </w:rPr>
        <w:t xml:space="preserve">PPRA QLD </w:t>
      </w:r>
      <w:r w:rsidRPr="00C74A2C">
        <w:rPr>
          <w:rFonts w:ascii="Cambria" w:eastAsiaTheme="majorEastAsia" w:hAnsi="Cambria" w:cstheme="majorBidi"/>
          <w:sz w:val="24"/>
          <w:szCs w:val="24"/>
        </w:rPr>
        <w:t>falls short of those principles in some</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respects.</w:t>
      </w:r>
      <w:r w:rsidR="00E9617C" w:rsidRPr="00C74A2C">
        <w:rPr>
          <w:rFonts w:ascii="Cambria" w:eastAsiaTheme="majorEastAsia" w:hAnsi="Cambria" w:cstheme="majorBidi"/>
          <w:sz w:val="24"/>
          <w:szCs w:val="24"/>
        </w:rPr>
        <w:t xml:space="preserve"> </w:t>
      </w:r>
      <w:r w:rsidR="72A6D696" w:rsidRPr="00C74A2C">
        <w:rPr>
          <w:rFonts w:ascii="Cambria" w:eastAsiaTheme="majorEastAsia" w:hAnsi="Cambria" w:cstheme="majorBidi"/>
          <w:sz w:val="24"/>
          <w:szCs w:val="24"/>
        </w:rPr>
        <w:t>With a view to addressing the issues raised in this paper, it would have great potential benefit to consider the following courses of action.</w:t>
      </w:r>
    </w:p>
    <w:p w14:paraId="45E7EB1F" w14:textId="27E9E2D9" w:rsidR="00555173" w:rsidRPr="00C74A2C" w:rsidRDefault="00555173"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lastRenderedPageBreak/>
        <w:t xml:space="preserve">In reviewing the relevant legislation in Queensland with respect to </w:t>
      </w:r>
      <w:r w:rsidR="00986D6C" w:rsidRPr="00C74A2C">
        <w:rPr>
          <w:rFonts w:ascii="Cambria" w:eastAsiaTheme="majorEastAsia" w:hAnsi="Cambria" w:cstheme="majorBidi"/>
          <w:sz w:val="24"/>
          <w:szCs w:val="24"/>
        </w:rPr>
        <w:t>undertaking forensic procedures with</w:t>
      </w:r>
      <w:r w:rsidRPr="00C74A2C">
        <w:rPr>
          <w:rFonts w:ascii="Cambria" w:eastAsiaTheme="majorEastAsia" w:hAnsi="Cambria" w:cstheme="majorBidi"/>
          <w:sz w:val="24"/>
          <w:szCs w:val="24"/>
        </w:rPr>
        <w:t xml:space="preserve"> alleged young offenders</w:t>
      </w:r>
      <w:r w:rsidRPr="00C74A2C">
        <w:rPr>
          <w:rFonts w:ascii="Cambria" w:eastAsiaTheme="majorEastAsia" w:hAnsi="Cambria" w:cstheme="majorBidi"/>
          <w:b/>
          <w:bCs/>
          <w:sz w:val="24"/>
          <w:szCs w:val="24"/>
        </w:rPr>
        <w:t>,</w:t>
      </w:r>
      <w:r w:rsidRPr="00C74A2C">
        <w:rPr>
          <w:rFonts w:ascii="Cambria" w:eastAsiaTheme="majorEastAsia" w:hAnsi="Cambria" w:cstheme="majorBidi"/>
          <w:sz w:val="24"/>
          <w:szCs w:val="24"/>
        </w:rPr>
        <w:t xml:space="preserve"> it may be possible to better safeguard the rights and well-being of young people. Specifically, the examination of Chapter 17 of the </w:t>
      </w:r>
      <w:r w:rsidRPr="00C74A2C">
        <w:rPr>
          <w:rFonts w:ascii="Cambria" w:eastAsiaTheme="majorEastAsia" w:hAnsi="Cambria" w:cstheme="majorBidi"/>
          <w:i/>
          <w:iCs/>
          <w:sz w:val="24"/>
          <w:szCs w:val="24"/>
        </w:rPr>
        <w:t>Police Powers and Responsibilities Act</w:t>
      </w:r>
      <w:r w:rsidRPr="00C74A2C">
        <w:rPr>
          <w:rFonts w:ascii="Cambria" w:eastAsiaTheme="majorEastAsia" w:hAnsi="Cambria" w:cstheme="majorBidi"/>
          <w:sz w:val="24"/>
          <w:szCs w:val="24"/>
        </w:rPr>
        <w:t xml:space="preserve"> highlighted the need to enhance privacy to fully</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respect this right under the </w:t>
      </w:r>
      <w:r w:rsidRPr="00C74A2C">
        <w:rPr>
          <w:rFonts w:ascii="Cambria" w:eastAsiaTheme="majorEastAsia" w:hAnsi="Cambria" w:cstheme="majorBidi"/>
          <w:i/>
          <w:sz w:val="24"/>
          <w:szCs w:val="24"/>
        </w:rPr>
        <w:t>Convention of the Rights of the Child</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69"/>
      </w:r>
      <w:r w:rsidRPr="00C74A2C">
        <w:rPr>
          <w:rFonts w:ascii="Cambria" w:eastAsiaTheme="majorEastAsia" w:hAnsi="Cambria" w:cstheme="majorBidi"/>
          <w:sz w:val="24"/>
          <w:szCs w:val="24"/>
        </w:rPr>
        <w:t xml:space="preserve"> Confirming the age of the alleged young offender may better ensure appropriate treatment under the legislation. In considering the issue of informed consent, stipulating a minimum time to consider</w:t>
      </w:r>
      <w:bookmarkStart w:id="9" w:name="page18"/>
      <w:bookmarkEnd w:id="9"/>
      <w:r w:rsidRPr="00C74A2C">
        <w:rPr>
          <w:rFonts w:ascii="Cambria" w:eastAsiaTheme="majorEastAsia" w:hAnsi="Cambria" w:cstheme="majorBidi"/>
          <w:sz w:val="24"/>
          <w:szCs w:val="24"/>
        </w:rPr>
        <w:t xml:space="preserve"> explanations regarding DNA collection and retention may better safeguard against a young person being unduly pressured into providing consent. Further, throughout the Act various provisions make reference to the presence of a support person for the alleged offender</w:t>
      </w:r>
      <w:r w:rsidR="00986D6C" w:rsidRPr="00C74A2C">
        <w:rPr>
          <w:rFonts w:ascii="Cambria" w:eastAsiaTheme="majorEastAsia" w:hAnsi="Cambria" w:cstheme="majorBidi"/>
          <w:sz w:val="24"/>
          <w:szCs w:val="24"/>
        </w:rPr>
        <w:t>, but only if that young person agrees</w:t>
      </w:r>
      <w:r w:rsidRPr="00C74A2C">
        <w:rPr>
          <w:rFonts w:ascii="Cambria" w:eastAsiaTheme="majorEastAsia" w:hAnsi="Cambria" w:cstheme="majorBidi"/>
          <w:sz w:val="24"/>
          <w:szCs w:val="24"/>
        </w:rPr>
        <w:t xml:space="preserve">. It may prove beneficial to make the attendance of a fully independent support person (themselves fully apprised of the legislation) mandatory to enhance and safeguard the </w:t>
      </w:r>
      <w:proofErr w:type="gramStart"/>
      <w:r w:rsidRPr="00C74A2C">
        <w:rPr>
          <w:rFonts w:ascii="Cambria" w:eastAsiaTheme="majorEastAsia" w:hAnsi="Cambria" w:cstheme="majorBidi"/>
          <w:sz w:val="24"/>
          <w:szCs w:val="24"/>
        </w:rPr>
        <w:t>decision making</w:t>
      </w:r>
      <w:proofErr w:type="gramEnd"/>
      <w:r w:rsidRPr="00C74A2C">
        <w:rPr>
          <w:rFonts w:ascii="Cambria" w:eastAsiaTheme="majorEastAsia" w:hAnsi="Cambria" w:cstheme="majorBidi"/>
          <w:sz w:val="24"/>
          <w:szCs w:val="24"/>
        </w:rPr>
        <w:t xml:space="preserve"> process. Lastly, the acknowledgement of variations in the developmental </w:t>
      </w:r>
      <w:proofErr w:type="gramStart"/>
      <w:r w:rsidRPr="00C74A2C">
        <w:rPr>
          <w:rFonts w:ascii="Cambria" w:eastAsiaTheme="majorEastAsia" w:hAnsi="Cambria" w:cstheme="majorBidi"/>
          <w:sz w:val="24"/>
          <w:szCs w:val="24"/>
        </w:rPr>
        <w:t>decision making</w:t>
      </w:r>
      <w:proofErr w:type="gramEnd"/>
      <w:r w:rsidRPr="00C74A2C">
        <w:rPr>
          <w:rFonts w:ascii="Cambria" w:eastAsiaTheme="majorEastAsia" w:hAnsi="Cambria" w:cstheme="majorBidi"/>
          <w:sz w:val="24"/>
          <w:szCs w:val="24"/>
        </w:rPr>
        <w:t xml:space="preserve"> capacity of individuals needs to be more fully considered.</w:t>
      </w:r>
    </w:p>
    <w:p w14:paraId="7B1E4EA1" w14:textId="58D80F59" w:rsidR="00555173" w:rsidRPr="00C74A2C" w:rsidRDefault="00555173" w:rsidP="72A6D696">
      <w:pPr>
        <w:spacing w:line="360" w:lineRule="auto"/>
        <w:jc w:val="both"/>
        <w:rPr>
          <w:rFonts w:ascii="Cambria" w:eastAsiaTheme="majorEastAsia" w:hAnsi="Cambria" w:cstheme="majorBidi"/>
          <w:sz w:val="24"/>
          <w:szCs w:val="24"/>
        </w:rPr>
      </w:pPr>
      <w:r w:rsidRPr="00C74A2C">
        <w:rPr>
          <w:rFonts w:ascii="Cambria" w:hAnsi="Cambria"/>
          <w:noProof/>
          <w:sz w:val="24"/>
          <w:szCs w:val="24"/>
          <w:lang w:val="en-GB" w:eastAsia="zh-CN"/>
        </w:rPr>
        <w:drawing>
          <wp:anchor distT="0" distB="0" distL="114300" distR="114300" simplePos="0" relativeHeight="251657216" behindDoc="1" locked="0" layoutInCell="0" allowOverlap="1" wp14:anchorId="3D00A551" wp14:editId="5CD2D77C">
            <wp:simplePos x="0" y="0"/>
            <wp:positionH relativeFrom="column">
              <wp:posOffset>0</wp:posOffset>
            </wp:positionH>
            <wp:positionV relativeFrom="paragraph">
              <wp:posOffset>3152140</wp:posOffset>
            </wp:positionV>
            <wp:extent cx="182880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1828800" cy="6350"/>
                    </a:xfrm>
                    <a:prstGeom prst="rect">
                      <a:avLst/>
                    </a:prstGeom>
                    <a:noFill/>
                  </pic:spPr>
                </pic:pic>
              </a:graphicData>
            </a:graphic>
          </wp:anchor>
        </w:drawing>
      </w:r>
      <w:r w:rsidRPr="00C74A2C">
        <w:rPr>
          <w:rFonts w:ascii="Cambria" w:eastAsiaTheme="majorEastAsia" w:hAnsi="Cambria" w:cstheme="majorBidi"/>
          <w:sz w:val="24"/>
          <w:szCs w:val="24"/>
        </w:rPr>
        <w:t xml:space="preserve">To justify any further expansion of DNA databases with regards to those young people dubbed as the </w:t>
      </w:r>
      <w:r w:rsidR="005E110E"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[n]</w:t>
      </w:r>
      <w:proofErr w:type="spellStart"/>
      <w:r w:rsidRPr="00C74A2C">
        <w:rPr>
          <w:rFonts w:ascii="Cambria" w:eastAsiaTheme="majorEastAsia" w:hAnsi="Cambria" w:cstheme="majorBidi"/>
          <w:sz w:val="24"/>
          <w:szCs w:val="24"/>
        </w:rPr>
        <w:t>ext</w:t>
      </w:r>
      <w:proofErr w:type="spellEnd"/>
      <w:r w:rsidRPr="00C74A2C">
        <w:rPr>
          <w:rFonts w:ascii="Cambria" w:eastAsiaTheme="majorEastAsia" w:hAnsi="Cambria" w:cstheme="majorBidi"/>
          <w:sz w:val="24"/>
          <w:szCs w:val="24"/>
        </w:rPr>
        <w:t xml:space="preserve"> generation of criminals</w:t>
      </w:r>
      <w:r w:rsidR="005E110E"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70"/>
      </w:r>
      <w:r w:rsidRPr="00C74A2C">
        <w:rPr>
          <w:rFonts w:ascii="Cambria" w:eastAsiaTheme="majorEastAsia" w:hAnsi="Cambria" w:cstheme="majorBidi"/>
          <w:sz w:val="24"/>
          <w:szCs w:val="24"/>
        </w:rPr>
        <w:t xml:space="preserve"> dedicating resources towards a </w:t>
      </w:r>
      <w:r w:rsidRPr="00C74A2C">
        <w:rPr>
          <w:rFonts w:ascii="Cambria" w:eastAsiaTheme="majorEastAsia" w:hAnsi="Cambria" w:cstheme="majorBidi"/>
          <w:i/>
          <w:iCs/>
          <w:sz w:val="24"/>
          <w:szCs w:val="24"/>
        </w:rPr>
        <w:t xml:space="preserve">cost-benefit analysis </w:t>
      </w:r>
      <w:r w:rsidRPr="00C74A2C">
        <w:rPr>
          <w:rFonts w:ascii="Cambria" w:eastAsiaTheme="majorEastAsia" w:hAnsi="Cambria" w:cstheme="majorBidi"/>
          <w:sz w:val="24"/>
          <w:szCs w:val="24"/>
        </w:rPr>
        <w:t>of the Queensland Police Service DNA database may be appropriate</w:t>
      </w:r>
      <w:r w:rsidR="00F810B2" w:rsidRPr="00ED5A08">
        <w:rPr>
          <w:rFonts w:ascii="Cambria" w:eastAsiaTheme="majorEastAsia" w:hAnsi="Cambria" w:cstheme="majorBidi"/>
          <w:sz w:val="24"/>
          <w:szCs w:val="24"/>
        </w:rPr>
        <w:t>,</w:t>
      </w:r>
      <w:r w:rsidR="005E110E" w:rsidRPr="0047622D">
        <w:rPr>
          <w:rFonts w:ascii="Cambria" w:eastAsiaTheme="majorEastAsia" w:hAnsi="Cambria" w:cstheme="majorBidi"/>
          <w:iCs/>
          <w:sz w:val="24"/>
          <w:szCs w:val="24"/>
          <w:vertAlign w:val="superscript"/>
        </w:rPr>
        <w:footnoteReference w:id="71"/>
      </w:r>
      <w:r w:rsidR="00F810B2" w:rsidRPr="00ED5A08">
        <w:rPr>
          <w:rFonts w:ascii="Cambria" w:eastAsiaTheme="majorEastAsia" w:hAnsi="Cambria" w:cstheme="majorBidi"/>
          <w:sz w:val="24"/>
          <w:szCs w:val="24"/>
        </w:rPr>
        <w:t xml:space="preserve"> </w:t>
      </w:r>
      <w:r w:rsidR="00ED5A08" w:rsidRPr="00C74A2C">
        <w:rPr>
          <w:rFonts w:ascii="Cambria" w:eastAsiaTheme="majorEastAsia" w:hAnsi="Cambria" w:cstheme="majorBidi"/>
          <w:sz w:val="24"/>
          <w:szCs w:val="24"/>
        </w:rPr>
        <w:t>,</w:t>
      </w:r>
      <w:proofErr w:type="spellStart"/>
      <w:r w:rsidR="00ED5A08">
        <w:rPr>
          <w:rFonts w:ascii="Cambria" w:eastAsiaTheme="majorEastAsia" w:hAnsi="Cambria" w:cstheme="majorBidi"/>
          <w:i/>
          <w:iCs/>
          <w:sz w:val="24"/>
          <w:szCs w:val="24"/>
          <w:vertAlign w:val="superscript"/>
        </w:rPr>
        <w:t>I</w:t>
      </w:r>
      <w:r w:rsidR="00F810B2" w:rsidRPr="00C74A2C">
        <w:rPr>
          <w:rFonts w:ascii="Cambria" w:eastAsiaTheme="majorEastAsia" w:hAnsi="Cambria" w:cstheme="majorBidi"/>
          <w:sz w:val="24"/>
          <w:szCs w:val="24"/>
        </w:rPr>
        <w:t>or</w:t>
      </w:r>
      <w:proofErr w:type="spellEnd"/>
      <w:r w:rsidR="00F810B2" w:rsidRPr="00C74A2C">
        <w:rPr>
          <w:rFonts w:ascii="Cambria" w:eastAsiaTheme="majorEastAsia" w:hAnsi="Cambria" w:cstheme="majorBidi"/>
          <w:sz w:val="24"/>
          <w:szCs w:val="24"/>
        </w:rPr>
        <w:t xml:space="preserve"> at the very least extensive, in-depth research around these concerns like that conducted by McCartney</w:t>
      </w:r>
      <w:r w:rsidR="00AD0885" w:rsidRPr="00C74A2C">
        <w:rPr>
          <w:rFonts w:ascii="Cambria" w:eastAsiaTheme="majorEastAsia" w:hAnsi="Cambria" w:cstheme="majorBidi"/>
          <w:sz w:val="24"/>
          <w:szCs w:val="24"/>
        </w:rPr>
        <w:t xml:space="preserve"> in the United Kingdom</w:t>
      </w:r>
      <w:r w:rsidRPr="00C74A2C">
        <w:rPr>
          <w:rFonts w:ascii="Cambria" w:eastAsiaTheme="majorEastAsia" w:hAnsi="Cambria" w:cstheme="majorBidi"/>
          <w:i/>
          <w:iCs/>
          <w:sz w:val="24"/>
          <w:szCs w:val="24"/>
        </w:rPr>
        <w:t>.</w:t>
      </w:r>
      <w:r w:rsidR="00AD0885" w:rsidRPr="00C74A2C">
        <w:rPr>
          <w:rStyle w:val="FootnoteReference"/>
          <w:rFonts w:ascii="Cambria" w:eastAsiaTheme="majorEastAsia" w:hAnsi="Cambria" w:cstheme="majorBidi"/>
          <w:iCs/>
          <w:sz w:val="24"/>
          <w:szCs w:val="24"/>
        </w:rPr>
        <w:footnoteReference w:id="72"/>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This may provide greater clarity in the debate as to whether having a DNA profile on such a database is a real deterrent to committing further crime, or whether there should be a refocusing of crime prevention on early interventions, rehabilitation and diversion from the criminal justice system. This latter consideration could be the subject of further exploratory research with the use of, for example, focus groups (parents, young people and criminal justice professionals) to facilitate the collation of feedback as to the perceived usefulness of </w:t>
      </w:r>
      <w:r w:rsidRPr="00CC0DDE">
        <w:rPr>
          <w:rFonts w:ascii="Cambria" w:eastAsiaTheme="majorEastAsia" w:hAnsi="Cambria" w:cstheme="majorBidi"/>
          <w:sz w:val="24"/>
          <w:szCs w:val="24"/>
        </w:rPr>
        <w:t>DNA databases and the best</w:t>
      </w:r>
      <w:r w:rsidRPr="00C74A2C">
        <w:rPr>
          <w:rFonts w:ascii="Cambria" w:eastAsiaTheme="majorEastAsia" w:hAnsi="Cambria" w:cstheme="majorBidi"/>
          <w:sz w:val="24"/>
          <w:szCs w:val="24"/>
        </w:rPr>
        <w:t xml:space="preserve"> way to deter young people from criminal activity.</w:t>
      </w:r>
      <w:bookmarkStart w:id="10" w:name="page19"/>
      <w:bookmarkEnd w:id="10"/>
      <w:r w:rsidR="00CC0DDE">
        <w:rPr>
          <w:rFonts w:ascii="Cambria" w:eastAsiaTheme="majorEastAsia" w:hAnsi="Cambria" w:cstheme="majorBidi"/>
          <w:sz w:val="24"/>
          <w:szCs w:val="24"/>
        </w:rPr>
        <w:t xml:space="preserve"> Further, </w:t>
      </w:r>
      <w:r w:rsidRPr="00C74A2C">
        <w:rPr>
          <w:rFonts w:ascii="Cambria" w:eastAsiaTheme="majorEastAsia" w:hAnsi="Cambria" w:cstheme="majorBidi"/>
          <w:sz w:val="24"/>
          <w:szCs w:val="24"/>
        </w:rPr>
        <w:t xml:space="preserve">comparative research </w:t>
      </w:r>
      <w:r w:rsidR="00240948" w:rsidRPr="00C74A2C">
        <w:rPr>
          <w:rFonts w:ascii="Cambria" w:eastAsiaTheme="majorEastAsia" w:hAnsi="Cambria" w:cstheme="majorBidi"/>
          <w:sz w:val="24"/>
          <w:szCs w:val="24"/>
        </w:rPr>
        <w:t>across international jurisdictions, and across</w:t>
      </w:r>
      <w:r w:rsidRPr="00C74A2C">
        <w:rPr>
          <w:rFonts w:ascii="Cambria" w:eastAsiaTheme="majorEastAsia" w:hAnsi="Cambria" w:cstheme="majorBidi"/>
          <w:sz w:val="24"/>
          <w:szCs w:val="24"/>
        </w:rPr>
        <w:t xml:space="preserve"> different Australian </w:t>
      </w:r>
      <w:r w:rsidRPr="00C74A2C">
        <w:rPr>
          <w:rFonts w:ascii="Cambria" w:eastAsiaTheme="majorEastAsia" w:hAnsi="Cambria" w:cstheme="majorBidi"/>
          <w:sz w:val="24"/>
          <w:szCs w:val="24"/>
        </w:rPr>
        <w:lastRenderedPageBreak/>
        <w:t>state jurisdictions</w:t>
      </w:r>
      <w:r w:rsidR="00240948"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 xml:space="preserve"> may also facilitate improvements and continuity with respect to the use of DNA databases.</w:t>
      </w:r>
    </w:p>
    <w:p w14:paraId="552A3D8D" w14:textId="1C2030B8" w:rsidR="00986D6C" w:rsidRPr="00C74A2C" w:rsidRDefault="00986D6C"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Given the varying developmental stages of young people, and their varying understanding of processes involved in forensic procedures and DNA </w:t>
      </w:r>
      <w:proofErr w:type="spellStart"/>
      <w:r w:rsidRPr="00C74A2C">
        <w:rPr>
          <w:rFonts w:ascii="Cambria" w:eastAsiaTheme="majorEastAsia" w:hAnsi="Cambria" w:cstheme="majorBidi"/>
          <w:sz w:val="24"/>
          <w:szCs w:val="24"/>
        </w:rPr>
        <w:t>databasing</w:t>
      </w:r>
      <w:proofErr w:type="spellEnd"/>
      <w:r w:rsidRPr="00C74A2C">
        <w:rPr>
          <w:rFonts w:ascii="Cambria" w:eastAsiaTheme="majorEastAsia" w:hAnsi="Cambria" w:cstheme="majorBidi"/>
          <w:sz w:val="24"/>
          <w:szCs w:val="24"/>
        </w:rPr>
        <w:t xml:space="preserve">, it may be beneficial to have legislation that accommodates or makes provision for a test specifically dealing with the recognition of individual differences with respect to the capacity and maturity of young people like that in the context of health law termed </w:t>
      </w:r>
      <w:proofErr w:type="spellStart"/>
      <w:r w:rsidRPr="00C74A2C">
        <w:rPr>
          <w:rFonts w:ascii="Cambria" w:eastAsiaTheme="majorEastAsia" w:hAnsi="Cambria" w:cstheme="majorBidi"/>
          <w:i/>
          <w:iCs/>
          <w:sz w:val="24"/>
          <w:szCs w:val="24"/>
        </w:rPr>
        <w:t>Gillick</w:t>
      </w:r>
      <w:proofErr w:type="spellEnd"/>
      <w:r w:rsidRPr="00C74A2C">
        <w:rPr>
          <w:rFonts w:ascii="Cambria" w:eastAsiaTheme="majorEastAsia" w:hAnsi="Cambria" w:cstheme="majorBidi"/>
          <w:i/>
          <w:iCs/>
          <w:sz w:val="24"/>
          <w:szCs w:val="24"/>
        </w:rPr>
        <w:t xml:space="preserve"> Competence</w:t>
      </w:r>
      <w:r w:rsidRPr="00C74A2C">
        <w:rPr>
          <w:rFonts w:ascii="Cambria" w:eastAsiaTheme="majorEastAsia" w:hAnsi="Cambria" w:cstheme="majorBidi"/>
          <w:sz w:val="24"/>
          <w:szCs w:val="24"/>
        </w:rPr>
        <w:t xml:space="preserve">. Originating from case law in England, </w:t>
      </w:r>
      <w:proofErr w:type="spellStart"/>
      <w:r w:rsidRPr="00C74A2C">
        <w:rPr>
          <w:rFonts w:ascii="Cambria" w:eastAsiaTheme="majorEastAsia" w:hAnsi="Cambria" w:cstheme="majorBidi"/>
          <w:sz w:val="24"/>
          <w:szCs w:val="24"/>
        </w:rPr>
        <w:t>Gillick</w:t>
      </w:r>
      <w:proofErr w:type="spellEnd"/>
      <w:r w:rsidRPr="00C74A2C">
        <w:rPr>
          <w:rFonts w:ascii="Cambria" w:eastAsiaTheme="majorEastAsia" w:hAnsi="Cambria" w:cstheme="majorBidi"/>
          <w:sz w:val="24"/>
          <w:szCs w:val="24"/>
        </w:rPr>
        <w:t xml:space="preserve"> Competence addresses the</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ability of the individual young person to consent to treatment in accordance with their capacity, intelligence, and maturity. The precedent set in the case, </w:t>
      </w:r>
      <w:proofErr w:type="spellStart"/>
      <w:r w:rsidRPr="00C74A2C">
        <w:rPr>
          <w:rFonts w:ascii="Cambria" w:eastAsiaTheme="majorEastAsia" w:hAnsi="Cambria" w:cstheme="majorBidi"/>
          <w:i/>
          <w:iCs/>
          <w:sz w:val="24"/>
          <w:szCs w:val="24"/>
        </w:rPr>
        <w:t>Gillick</w:t>
      </w:r>
      <w:proofErr w:type="spellEnd"/>
      <w:r w:rsidRPr="00C74A2C">
        <w:rPr>
          <w:rFonts w:ascii="Cambria" w:eastAsiaTheme="majorEastAsia" w:hAnsi="Cambria" w:cstheme="majorBidi"/>
          <w:i/>
          <w:iCs/>
          <w:sz w:val="24"/>
          <w:szCs w:val="24"/>
        </w:rPr>
        <w:t xml:space="preserve"> v </w:t>
      </w:r>
      <w:proofErr w:type="spellStart"/>
      <w:r w:rsidRPr="00C74A2C">
        <w:rPr>
          <w:rFonts w:ascii="Cambria" w:eastAsiaTheme="majorEastAsia" w:hAnsi="Cambria" w:cstheme="majorBidi"/>
          <w:i/>
          <w:iCs/>
          <w:sz w:val="24"/>
          <w:szCs w:val="24"/>
        </w:rPr>
        <w:t>Westnorfolk</w:t>
      </w:r>
      <w:proofErr w:type="spellEnd"/>
      <w:r w:rsidRPr="00C74A2C">
        <w:rPr>
          <w:rFonts w:ascii="Cambria" w:eastAsiaTheme="majorEastAsia" w:hAnsi="Cambria" w:cstheme="majorBidi"/>
          <w:i/>
          <w:iCs/>
          <w:sz w:val="24"/>
          <w:szCs w:val="24"/>
        </w:rPr>
        <w:t xml:space="preserve"> and</w:t>
      </w:r>
      <w:r w:rsidRPr="00C74A2C">
        <w:rPr>
          <w:rFonts w:ascii="Cambria" w:eastAsiaTheme="majorEastAsia" w:hAnsi="Cambria" w:cstheme="majorBidi"/>
          <w:sz w:val="24"/>
          <w:szCs w:val="24"/>
        </w:rPr>
        <w:t xml:space="preserve"> </w:t>
      </w:r>
      <w:proofErr w:type="spellStart"/>
      <w:r w:rsidRPr="00C74A2C">
        <w:rPr>
          <w:rFonts w:ascii="Cambria" w:eastAsiaTheme="majorEastAsia" w:hAnsi="Cambria" w:cstheme="majorBidi"/>
          <w:i/>
          <w:iCs/>
          <w:sz w:val="24"/>
          <w:szCs w:val="24"/>
        </w:rPr>
        <w:t>Wisbech</w:t>
      </w:r>
      <w:proofErr w:type="spellEnd"/>
      <w:r w:rsidRPr="00C74A2C">
        <w:rPr>
          <w:rFonts w:ascii="Cambria" w:eastAsiaTheme="majorEastAsia" w:hAnsi="Cambria" w:cstheme="majorBidi"/>
          <w:i/>
          <w:iCs/>
          <w:sz w:val="24"/>
          <w:szCs w:val="24"/>
        </w:rPr>
        <w:t xml:space="preserve"> Area Health Authority</w:t>
      </w:r>
      <w:r w:rsidR="003F36F1" w:rsidRPr="00C74A2C">
        <w:rPr>
          <w:rFonts w:ascii="Cambria" w:eastAsiaTheme="majorEastAsia" w:hAnsi="Cambria" w:cstheme="majorBidi"/>
          <w:i/>
          <w:iCs/>
          <w:sz w:val="24"/>
          <w:szCs w:val="24"/>
        </w:rPr>
        <w:t>,</w:t>
      </w:r>
      <w:r w:rsidRPr="00C74A2C">
        <w:rPr>
          <w:rFonts w:ascii="Cambria" w:eastAsiaTheme="majorEastAsia" w:hAnsi="Cambria" w:cstheme="majorBidi"/>
          <w:sz w:val="24"/>
          <w:szCs w:val="24"/>
          <w:vertAlign w:val="superscript"/>
        </w:rPr>
        <w:footnoteReference w:id="73"/>
      </w:r>
      <w:r w:rsidRPr="00C74A2C">
        <w:rPr>
          <w:rFonts w:ascii="Cambria" w:eastAsiaTheme="majorEastAsia" w:hAnsi="Cambria" w:cstheme="majorBidi"/>
          <w:sz w:val="24"/>
          <w:szCs w:val="24"/>
        </w:rPr>
        <w:t xml:space="preserve"> has been applied and approved in Australia in</w:t>
      </w:r>
      <w:r w:rsidRPr="00C74A2C">
        <w:rPr>
          <w:rFonts w:ascii="Cambria" w:eastAsiaTheme="majorEastAsia" w:hAnsi="Cambria" w:cstheme="majorBidi"/>
          <w:i/>
          <w:iCs/>
          <w:sz w:val="24"/>
          <w:szCs w:val="24"/>
        </w:rPr>
        <w:t xml:space="preserve"> Marion’s </w:t>
      </w:r>
      <w:r w:rsidRPr="00C74A2C">
        <w:rPr>
          <w:rFonts w:ascii="Cambria" w:eastAsiaTheme="majorEastAsia" w:hAnsi="Cambria" w:cstheme="majorBidi"/>
          <w:sz w:val="24"/>
          <w:szCs w:val="24"/>
        </w:rPr>
        <w:t>case.</w:t>
      </w:r>
      <w:r w:rsidRPr="00C74A2C">
        <w:rPr>
          <w:rFonts w:ascii="Cambria" w:eastAsiaTheme="majorEastAsia" w:hAnsi="Cambria" w:cstheme="majorBidi"/>
          <w:sz w:val="24"/>
          <w:szCs w:val="24"/>
          <w:vertAlign w:val="superscript"/>
        </w:rPr>
        <w:footnoteReference w:id="74"/>
      </w:r>
      <w:r w:rsidRPr="00C74A2C">
        <w:rPr>
          <w:rFonts w:ascii="Cambria" w:eastAsiaTheme="majorEastAsia" w:hAnsi="Cambria" w:cstheme="majorBidi"/>
          <w:sz w:val="24"/>
          <w:szCs w:val="24"/>
        </w:rPr>
        <w:t xml:space="preserve"> In handing down its’ majority decision, the court held that </w:t>
      </w:r>
      <w:r w:rsidR="003F36F1"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[a] minor is capable of giving informed consent when he or she achieves a sufficient understanding and intelligence to enable him or her to understand fully what is proposed”.</w:t>
      </w:r>
      <w:r w:rsidRPr="00C74A2C">
        <w:rPr>
          <w:rFonts w:ascii="Cambria" w:eastAsiaTheme="majorEastAsia" w:hAnsi="Cambria" w:cstheme="majorBidi"/>
          <w:sz w:val="24"/>
          <w:szCs w:val="24"/>
          <w:vertAlign w:val="superscript"/>
        </w:rPr>
        <w:footnoteReference w:id="75"/>
      </w:r>
      <w:r w:rsidRPr="00C74A2C">
        <w:rPr>
          <w:rFonts w:ascii="Cambria" w:eastAsiaTheme="majorEastAsia" w:hAnsi="Cambria" w:cstheme="majorBidi"/>
          <w:sz w:val="24"/>
          <w:szCs w:val="24"/>
        </w:rPr>
        <w:t xml:space="preserve"> It is tenable this competence test may also be applied in the context of young people consenting (or not) to forensic procedures such as the collection of DNA. </w:t>
      </w:r>
      <w:proofErr w:type="spellStart"/>
      <w:r w:rsidRPr="00C74A2C">
        <w:rPr>
          <w:rFonts w:ascii="Cambria" w:eastAsiaTheme="majorEastAsia" w:hAnsi="Cambria" w:cstheme="majorBidi"/>
          <w:sz w:val="24"/>
          <w:szCs w:val="24"/>
        </w:rPr>
        <w:t>Gillick</w:t>
      </w:r>
      <w:proofErr w:type="spellEnd"/>
      <w:r w:rsidRPr="00C74A2C">
        <w:rPr>
          <w:rFonts w:ascii="Cambria" w:eastAsiaTheme="majorEastAsia" w:hAnsi="Cambria" w:cstheme="majorBidi"/>
          <w:sz w:val="24"/>
          <w:szCs w:val="24"/>
        </w:rPr>
        <w:t xml:space="preserve"> Competence has been challenged in terms of its usefulness. </w:t>
      </w:r>
      <w:proofErr w:type="spellStart"/>
      <w:r w:rsidRPr="00C74A2C">
        <w:rPr>
          <w:rFonts w:ascii="Cambria" w:eastAsiaTheme="majorEastAsia" w:hAnsi="Cambria" w:cstheme="majorBidi"/>
          <w:sz w:val="24"/>
          <w:szCs w:val="24"/>
        </w:rPr>
        <w:t>Morss</w:t>
      </w:r>
      <w:proofErr w:type="spellEnd"/>
      <w:r w:rsidRPr="00C74A2C">
        <w:rPr>
          <w:rFonts w:ascii="Cambria" w:eastAsiaTheme="majorEastAsia" w:hAnsi="Cambria" w:cstheme="majorBidi"/>
          <w:sz w:val="24"/>
          <w:szCs w:val="24"/>
        </w:rPr>
        <w:t xml:space="preserve"> indicates, for instance, that whilst </w:t>
      </w:r>
      <w:proofErr w:type="spellStart"/>
      <w:r w:rsidRPr="00C74A2C">
        <w:rPr>
          <w:rFonts w:ascii="Cambria" w:eastAsiaTheme="majorEastAsia" w:hAnsi="Cambria" w:cstheme="majorBidi"/>
          <w:sz w:val="24"/>
          <w:szCs w:val="24"/>
        </w:rPr>
        <w:t>Gillick</w:t>
      </w:r>
      <w:proofErr w:type="spellEnd"/>
      <w:r w:rsidRPr="00C74A2C">
        <w:rPr>
          <w:rFonts w:ascii="Cambria" w:eastAsiaTheme="majorEastAsia" w:hAnsi="Cambria" w:cstheme="majorBidi"/>
          <w:sz w:val="24"/>
          <w:szCs w:val="24"/>
        </w:rPr>
        <w:t xml:space="preserve"> Competence emphasises the acknowledgement of variations for psychosocial development between individuals, it is also incremental in nature and therefore needs to be evaluated on a case by case basis.</w:t>
      </w:r>
      <w:r w:rsidRPr="00C74A2C">
        <w:rPr>
          <w:rFonts w:ascii="Cambria" w:eastAsiaTheme="majorEastAsia" w:hAnsi="Cambria" w:cstheme="majorBidi"/>
          <w:sz w:val="24"/>
          <w:szCs w:val="24"/>
          <w:vertAlign w:val="superscript"/>
        </w:rPr>
        <w:footnoteReference w:id="76"/>
      </w:r>
      <w:r w:rsidRPr="00C74A2C">
        <w:rPr>
          <w:rFonts w:ascii="Cambria" w:eastAsiaTheme="majorEastAsia" w:hAnsi="Cambria" w:cstheme="majorBidi"/>
          <w:sz w:val="24"/>
          <w:szCs w:val="24"/>
        </w:rPr>
        <w:t xml:space="preserve"> As </w:t>
      </w:r>
      <w:proofErr w:type="spellStart"/>
      <w:r w:rsidRPr="00C74A2C">
        <w:rPr>
          <w:rFonts w:ascii="Cambria" w:eastAsiaTheme="majorEastAsia" w:hAnsi="Cambria" w:cstheme="majorBidi"/>
          <w:sz w:val="24"/>
          <w:szCs w:val="24"/>
        </w:rPr>
        <w:t>Morss</w:t>
      </w:r>
      <w:proofErr w:type="spellEnd"/>
      <w:r w:rsidRPr="00C74A2C">
        <w:rPr>
          <w:rFonts w:ascii="Cambria" w:eastAsiaTheme="majorEastAsia" w:hAnsi="Cambria" w:cstheme="majorBidi"/>
          <w:sz w:val="24"/>
          <w:szCs w:val="24"/>
        </w:rPr>
        <w:t xml:space="preserve"> asserts, </w:t>
      </w:r>
      <w:r w:rsidR="00E23DA9" w:rsidRPr="00C74A2C">
        <w:rPr>
          <w:rFonts w:ascii="Cambria" w:eastAsiaTheme="majorEastAsia" w:hAnsi="Cambria" w:cstheme="majorBidi"/>
          <w:sz w:val="24"/>
          <w:szCs w:val="24"/>
        </w:rPr>
        <w:t>‘a</w:t>
      </w:r>
      <w:r w:rsidRPr="00C74A2C">
        <w:rPr>
          <w:rFonts w:ascii="Cambria" w:eastAsiaTheme="majorEastAsia" w:hAnsi="Cambria" w:cstheme="majorBidi"/>
          <w:sz w:val="24"/>
          <w:szCs w:val="24"/>
        </w:rPr>
        <w:t xml:space="preserve"> child’s capacity in law depends upon that child’s individual circumstances and in spite of increasing capacity, commensurate with age and other factors, major barriers still exist in children exercising their legal rights</w:t>
      </w:r>
      <w:r w:rsidR="00E23DA9" w:rsidRPr="00C74A2C">
        <w:rPr>
          <w:rFonts w:ascii="Cambria" w:eastAsiaTheme="majorEastAsia" w:hAnsi="Cambria" w:cstheme="majorBidi"/>
          <w:sz w:val="24"/>
          <w:szCs w:val="24"/>
        </w:rPr>
        <w:t>’</w:t>
      </w:r>
      <w:r w:rsidRPr="00C74A2C">
        <w:rPr>
          <w:rFonts w:ascii="Cambria" w:eastAsiaTheme="majorEastAsia" w:hAnsi="Cambria" w:cstheme="majorBidi"/>
          <w:sz w:val="24"/>
          <w:szCs w:val="24"/>
        </w:rPr>
        <w:t>.</w:t>
      </w:r>
      <w:r w:rsidRPr="00C74A2C">
        <w:rPr>
          <w:rFonts w:ascii="Cambria" w:eastAsiaTheme="majorEastAsia" w:hAnsi="Cambria" w:cstheme="majorBidi"/>
          <w:sz w:val="24"/>
          <w:szCs w:val="24"/>
          <w:vertAlign w:val="superscript"/>
        </w:rPr>
        <w:footnoteReference w:id="77"/>
      </w:r>
      <w:r w:rsidRPr="00C74A2C">
        <w:rPr>
          <w:rFonts w:ascii="Cambria" w:eastAsiaTheme="majorEastAsia" w:hAnsi="Cambria" w:cstheme="majorBidi"/>
          <w:sz w:val="24"/>
          <w:szCs w:val="24"/>
        </w:rPr>
        <w:t xml:space="preserve"> However, it is also plausible that a </w:t>
      </w:r>
      <w:proofErr w:type="spellStart"/>
      <w:r w:rsidRPr="00C74A2C">
        <w:rPr>
          <w:rFonts w:ascii="Cambria" w:eastAsiaTheme="majorEastAsia" w:hAnsi="Cambria" w:cstheme="majorBidi"/>
          <w:sz w:val="24"/>
          <w:szCs w:val="24"/>
        </w:rPr>
        <w:t>Gillick-esque</w:t>
      </w:r>
      <w:proofErr w:type="spellEnd"/>
      <w:r w:rsidRPr="00C74A2C">
        <w:rPr>
          <w:rFonts w:ascii="Cambria" w:eastAsiaTheme="majorEastAsia" w:hAnsi="Cambria" w:cstheme="majorBidi"/>
          <w:sz w:val="24"/>
          <w:szCs w:val="24"/>
        </w:rPr>
        <w:t xml:space="preserve"> standard or test may be incorporated into relevant aspects of </w:t>
      </w:r>
      <w:r w:rsidRPr="00C74A2C">
        <w:rPr>
          <w:rFonts w:ascii="Cambria" w:eastAsiaTheme="majorEastAsia" w:hAnsi="Cambria" w:cstheme="majorBidi"/>
          <w:i/>
          <w:iCs/>
          <w:sz w:val="24"/>
          <w:szCs w:val="24"/>
        </w:rPr>
        <w:t>Police Powers and Responsibilities Act</w:t>
      </w:r>
      <w:r w:rsidRPr="00C74A2C">
        <w:rPr>
          <w:rFonts w:ascii="Cambria" w:eastAsiaTheme="majorEastAsia" w:hAnsi="Cambria" w:cstheme="majorBidi"/>
          <w:sz w:val="24"/>
          <w:szCs w:val="24"/>
        </w:rPr>
        <w:t xml:space="preserve"> in the Queensland context to better accommodate variation in psychosocial development between individuals.</w:t>
      </w:r>
    </w:p>
    <w:p w14:paraId="1050111D" w14:textId="16DE51D7" w:rsidR="00240948" w:rsidRPr="00C74A2C" w:rsidRDefault="00240948" w:rsidP="72A6D696">
      <w:pPr>
        <w:spacing w:line="360" w:lineRule="auto"/>
        <w:jc w:val="both"/>
        <w:rPr>
          <w:rFonts w:ascii="Cambria" w:eastAsiaTheme="majorEastAsia" w:hAnsi="Cambria" w:cstheme="majorBidi"/>
          <w:sz w:val="24"/>
          <w:szCs w:val="24"/>
        </w:rPr>
      </w:pPr>
      <w:r w:rsidRPr="00C74A2C">
        <w:rPr>
          <w:rFonts w:ascii="Cambria" w:eastAsiaTheme="majorEastAsia" w:hAnsi="Cambria" w:cstheme="majorBidi"/>
          <w:sz w:val="24"/>
          <w:szCs w:val="24"/>
        </w:rPr>
        <w:t xml:space="preserve">Ultimately, it is clear that forensic procedures, and subsequent DNA profiling and </w:t>
      </w:r>
      <w:proofErr w:type="spellStart"/>
      <w:r w:rsidRPr="00C74A2C">
        <w:rPr>
          <w:rFonts w:ascii="Cambria" w:eastAsiaTheme="majorEastAsia" w:hAnsi="Cambria" w:cstheme="majorBidi"/>
          <w:sz w:val="24"/>
          <w:szCs w:val="24"/>
        </w:rPr>
        <w:t>databasing</w:t>
      </w:r>
      <w:proofErr w:type="spellEnd"/>
      <w:r w:rsidRPr="00C74A2C">
        <w:rPr>
          <w:rFonts w:ascii="Cambria" w:eastAsiaTheme="majorEastAsia" w:hAnsi="Cambria" w:cstheme="majorBidi"/>
          <w:sz w:val="24"/>
          <w:szCs w:val="24"/>
        </w:rPr>
        <w:t xml:space="preserve">, require further discussion around how we continue to engage in these </w:t>
      </w:r>
      <w:r w:rsidRPr="00C74A2C">
        <w:rPr>
          <w:rFonts w:ascii="Cambria" w:eastAsiaTheme="majorEastAsia" w:hAnsi="Cambria" w:cstheme="majorBidi"/>
          <w:sz w:val="24"/>
          <w:szCs w:val="24"/>
        </w:rPr>
        <w:lastRenderedPageBreak/>
        <w:t>practices with alleged young offenders and simultaneously continue to balance this with the human rights concerns raised for these offenders.</w:t>
      </w:r>
      <w:r w:rsidR="003C7360" w:rsidRPr="00C74A2C">
        <w:rPr>
          <w:rFonts w:ascii="Cambria" w:eastAsiaTheme="majorEastAsia" w:hAnsi="Cambria" w:cstheme="majorBidi"/>
          <w:sz w:val="24"/>
          <w:szCs w:val="24"/>
        </w:rPr>
        <w:t xml:space="preserve"> For instance, what happens in the event that a young person refuses to consent to a forensic procedure, and police then proceed to gain a court order to have this procedure completed? What human rights issues are raised when the young person breaches the order and is criminalised as a result of this? What happens to informed consent with alleged young offenders when their rights are disregarded in these processes? </w:t>
      </w:r>
      <w:r w:rsidRPr="00C74A2C">
        <w:rPr>
          <w:rFonts w:ascii="Cambria" w:eastAsiaTheme="majorEastAsia" w:hAnsi="Cambria" w:cstheme="majorBidi"/>
          <w:sz w:val="24"/>
          <w:szCs w:val="24"/>
        </w:rPr>
        <w:t>In what ethical space must we move</w:t>
      </w:r>
      <w:r w:rsidR="00A019AB" w:rsidRPr="00C74A2C">
        <w:rPr>
          <w:rFonts w:ascii="Cambria" w:eastAsiaTheme="majorEastAsia" w:hAnsi="Cambria" w:cstheme="majorBidi"/>
          <w:sz w:val="24"/>
          <w:szCs w:val="24"/>
        </w:rPr>
        <w:t xml:space="preserve"> if we</w:t>
      </w:r>
      <w:r w:rsidRPr="00C74A2C">
        <w:rPr>
          <w:rFonts w:ascii="Cambria" w:eastAsiaTheme="majorEastAsia" w:hAnsi="Cambria" w:cstheme="majorBidi"/>
          <w:sz w:val="24"/>
          <w:szCs w:val="24"/>
        </w:rPr>
        <w:t xml:space="preserve"> consider the infringements on human rights elaborated above </w:t>
      </w:r>
      <w:r w:rsidR="00A019AB" w:rsidRPr="00C74A2C">
        <w:rPr>
          <w:rFonts w:ascii="Cambria" w:eastAsiaTheme="majorEastAsia" w:hAnsi="Cambria" w:cstheme="majorBidi"/>
          <w:sz w:val="24"/>
          <w:szCs w:val="24"/>
        </w:rPr>
        <w:t xml:space="preserve">as acceptable </w:t>
      </w:r>
      <w:r w:rsidRPr="00C74A2C">
        <w:rPr>
          <w:rFonts w:ascii="Cambria" w:eastAsiaTheme="majorEastAsia" w:hAnsi="Cambria" w:cstheme="majorBidi"/>
          <w:sz w:val="24"/>
          <w:szCs w:val="24"/>
        </w:rPr>
        <w:t xml:space="preserve">in light of being able to </w:t>
      </w:r>
      <w:r w:rsidR="00A019AB" w:rsidRPr="00C74A2C">
        <w:rPr>
          <w:rFonts w:ascii="Cambria" w:eastAsiaTheme="majorEastAsia" w:hAnsi="Cambria" w:cstheme="majorBidi"/>
          <w:sz w:val="24"/>
          <w:szCs w:val="24"/>
        </w:rPr>
        <w:t xml:space="preserve">detect and prevent crime generally, in addition to </w:t>
      </w:r>
      <w:r w:rsidRPr="00C74A2C">
        <w:rPr>
          <w:rFonts w:ascii="Cambria" w:eastAsiaTheme="majorEastAsia" w:hAnsi="Cambria" w:cstheme="majorBidi"/>
          <w:sz w:val="24"/>
          <w:szCs w:val="24"/>
        </w:rPr>
        <w:t>acquit</w:t>
      </w:r>
      <w:r w:rsidR="00A019AB" w:rsidRPr="00C74A2C">
        <w:rPr>
          <w:rFonts w:ascii="Cambria" w:eastAsiaTheme="majorEastAsia" w:hAnsi="Cambria" w:cstheme="majorBidi"/>
          <w:sz w:val="24"/>
          <w:szCs w:val="24"/>
        </w:rPr>
        <w:t>ting</w:t>
      </w:r>
      <w:r w:rsidRPr="00C74A2C">
        <w:rPr>
          <w:rFonts w:ascii="Cambria" w:eastAsiaTheme="majorEastAsia" w:hAnsi="Cambria" w:cstheme="majorBidi"/>
          <w:sz w:val="24"/>
          <w:szCs w:val="24"/>
        </w:rPr>
        <w:t xml:space="preserve"> those wrongly accused</w:t>
      </w:r>
      <w:r w:rsidR="00A019AB" w:rsidRPr="00C74A2C">
        <w:rPr>
          <w:rFonts w:ascii="Cambria" w:eastAsiaTheme="majorEastAsia" w:hAnsi="Cambria" w:cstheme="majorBidi"/>
          <w:sz w:val="24"/>
          <w:szCs w:val="24"/>
        </w:rPr>
        <w:t xml:space="preserve"> of particular crimes</w:t>
      </w:r>
      <w:r w:rsidRPr="00C74A2C">
        <w:rPr>
          <w:rFonts w:ascii="Cambria" w:eastAsiaTheme="majorEastAsia" w:hAnsi="Cambria" w:cstheme="majorBidi"/>
          <w:sz w:val="24"/>
          <w:szCs w:val="24"/>
        </w:rPr>
        <w:t>?</w:t>
      </w:r>
      <w:r w:rsidR="00A019AB" w:rsidRPr="00C74A2C">
        <w:rPr>
          <w:rFonts w:ascii="Cambria" w:eastAsiaTheme="majorEastAsia" w:hAnsi="Cambria" w:cstheme="majorBidi"/>
          <w:sz w:val="24"/>
          <w:szCs w:val="24"/>
        </w:rPr>
        <w:t xml:space="preserve"> </w:t>
      </w:r>
      <w:r w:rsidR="00DB7AE7" w:rsidRPr="00C74A2C">
        <w:rPr>
          <w:rFonts w:ascii="Cambria" w:eastAsiaTheme="majorEastAsia" w:hAnsi="Cambria" w:cstheme="majorBidi"/>
          <w:sz w:val="24"/>
          <w:szCs w:val="24"/>
        </w:rPr>
        <w:t xml:space="preserve">How do we think through the possibility that having an alleged young offenders’ DNA profile entered into a database may be considered as a deterrent for engaging in different types of crime? These are key questions in this debate that we would suggest need to be considered in light of how we support the young people so they fully understand these processes in </w:t>
      </w:r>
      <w:r w:rsidR="00BE2B7E">
        <w:rPr>
          <w:rFonts w:ascii="Cambria" w:eastAsiaTheme="majorEastAsia" w:hAnsi="Cambria" w:cstheme="majorBidi"/>
          <w:sz w:val="24"/>
          <w:szCs w:val="24"/>
        </w:rPr>
        <w:t xml:space="preserve">the </w:t>
      </w:r>
      <w:r w:rsidR="00DB7AE7" w:rsidRPr="00C74A2C">
        <w:rPr>
          <w:rFonts w:ascii="Cambria" w:eastAsiaTheme="majorEastAsia" w:hAnsi="Cambria" w:cstheme="majorBidi"/>
          <w:sz w:val="24"/>
          <w:szCs w:val="24"/>
        </w:rPr>
        <w:t>future.</w:t>
      </w:r>
    </w:p>
    <w:p w14:paraId="368BB8A3" w14:textId="005880D0" w:rsidR="00555173" w:rsidRPr="00555173" w:rsidRDefault="00555173" w:rsidP="72A6D696">
      <w:pPr>
        <w:spacing w:line="360" w:lineRule="auto"/>
        <w:jc w:val="both"/>
        <w:rPr>
          <w:rFonts w:asciiTheme="majorHAnsi" w:eastAsiaTheme="majorEastAsia" w:hAnsiTheme="majorHAnsi" w:cstheme="majorBidi"/>
          <w:sz w:val="24"/>
          <w:szCs w:val="24"/>
        </w:rPr>
      </w:pPr>
    </w:p>
    <w:p w14:paraId="2E7F9D76" w14:textId="77777777" w:rsidR="00BE2B7E" w:rsidRDefault="00BE2B7E">
      <w:pPr>
        <w:rPr>
          <w:rFonts w:ascii="Cambria" w:hAnsi="Cambria"/>
          <w:smallCaps/>
          <w:color w:val="000000" w:themeColor="text1"/>
          <w:sz w:val="24"/>
          <w:szCs w:val="24"/>
        </w:rPr>
      </w:pPr>
      <w:r>
        <w:rPr>
          <w:rFonts w:ascii="Cambria" w:hAnsi="Cambria"/>
          <w:smallCaps/>
          <w:color w:val="000000" w:themeColor="text1"/>
          <w:sz w:val="24"/>
          <w:szCs w:val="24"/>
        </w:rPr>
        <w:br w:type="page"/>
      </w:r>
    </w:p>
    <w:p w14:paraId="4329BC78" w14:textId="77777777" w:rsidR="00EC2712" w:rsidRPr="00B23570" w:rsidRDefault="00EC2712" w:rsidP="00EC2712">
      <w:pPr>
        <w:jc w:val="center"/>
        <w:rPr>
          <w:rFonts w:ascii="Cambria" w:hAnsi="Cambria"/>
          <w:color w:val="000000" w:themeColor="text1"/>
        </w:rPr>
      </w:pPr>
      <w:r w:rsidRPr="00B23570">
        <w:rPr>
          <w:rFonts w:ascii="Cambria" w:hAnsi="Cambria"/>
          <w:smallCaps/>
          <w:color w:val="000000" w:themeColor="text1"/>
          <w:sz w:val="24"/>
          <w:szCs w:val="24"/>
        </w:rPr>
        <w:lastRenderedPageBreak/>
        <w:t>Reference List</w:t>
      </w:r>
    </w:p>
    <w:p w14:paraId="3330233B" w14:textId="77777777" w:rsidR="00EC2712" w:rsidRPr="003428D4" w:rsidRDefault="00EC2712" w:rsidP="00EC2712">
      <w:pPr>
        <w:jc w:val="center"/>
        <w:rPr>
          <w:rFonts w:ascii="Cambria" w:hAnsi="Cambria"/>
          <w:sz w:val="24"/>
          <w:szCs w:val="24"/>
        </w:rPr>
      </w:pPr>
      <w:proofErr w:type="spellStart"/>
      <w:proofErr w:type="gramStart"/>
      <w:r w:rsidRPr="00B23570">
        <w:rPr>
          <w:rFonts w:ascii="Cambria" w:hAnsi="Cambria"/>
          <w:color w:val="000000" w:themeColor="text1"/>
          <w:sz w:val="24"/>
          <w:szCs w:val="24"/>
        </w:rPr>
        <w:t>A</w:t>
      </w:r>
      <w:proofErr w:type="spellEnd"/>
      <w:proofErr w:type="gramEnd"/>
      <w:r w:rsidRPr="00B23570">
        <w:rPr>
          <w:rFonts w:ascii="Cambria" w:hAnsi="Cambria"/>
          <w:i/>
          <w:color w:val="000000" w:themeColor="text1"/>
          <w:sz w:val="24"/>
          <w:szCs w:val="24"/>
        </w:rPr>
        <w:t xml:space="preserve"> Article/Books/Reports</w:t>
      </w:r>
    </w:p>
    <w:p w14:paraId="58C46DE4" w14:textId="68997339" w:rsidR="00EC2712" w:rsidRPr="00C74A2C" w:rsidRDefault="00EC2712" w:rsidP="00EC2712">
      <w:pPr>
        <w:pStyle w:val="FootnoteText"/>
        <w:rPr>
          <w:rFonts w:ascii="Cambria" w:eastAsiaTheme="majorEastAsia" w:hAnsi="Cambria" w:cstheme="majorBidi"/>
          <w:sz w:val="24"/>
          <w:szCs w:val="24"/>
        </w:rPr>
      </w:pPr>
      <w:r w:rsidRPr="00C74A2C">
        <w:rPr>
          <w:rFonts w:ascii="Cambria" w:eastAsiaTheme="majorEastAsia" w:hAnsi="Cambria" w:cstheme="majorBidi"/>
          <w:sz w:val="24"/>
          <w:szCs w:val="24"/>
        </w:rPr>
        <w:t xml:space="preserve">Abercrombie, </w:t>
      </w:r>
      <w:r>
        <w:rPr>
          <w:rFonts w:ascii="Cambria" w:eastAsiaTheme="majorEastAsia" w:hAnsi="Cambria" w:cstheme="majorBidi"/>
          <w:sz w:val="24"/>
          <w:szCs w:val="24"/>
        </w:rPr>
        <w:t xml:space="preserve">Nicholas, </w:t>
      </w:r>
      <w:r w:rsidRPr="00C74A2C">
        <w:rPr>
          <w:rFonts w:ascii="Cambria" w:eastAsiaTheme="majorEastAsia" w:hAnsi="Cambria" w:cstheme="majorBidi"/>
          <w:sz w:val="24"/>
          <w:szCs w:val="24"/>
        </w:rPr>
        <w:t xml:space="preserve">Stephen Hill and Bryan Turner, </w:t>
      </w:r>
      <w:r w:rsidR="00FB44F2">
        <w:rPr>
          <w:rFonts w:ascii="Cambria" w:eastAsiaTheme="majorEastAsia" w:hAnsi="Cambria" w:cstheme="majorBidi"/>
          <w:i/>
          <w:sz w:val="24"/>
          <w:szCs w:val="24"/>
        </w:rPr>
        <w:t xml:space="preserve">The Penguin </w:t>
      </w:r>
      <w:r w:rsidRPr="00C74A2C">
        <w:rPr>
          <w:rFonts w:ascii="Cambria" w:eastAsiaTheme="majorEastAsia" w:hAnsi="Cambria" w:cstheme="majorBidi"/>
          <w:i/>
          <w:iCs/>
          <w:sz w:val="24"/>
          <w:szCs w:val="24"/>
        </w:rPr>
        <w:t>Dictionary of Sociology</w:t>
      </w:r>
      <w:r w:rsidRPr="00C74A2C">
        <w:rPr>
          <w:rFonts w:ascii="Cambria" w:eastAsiaTheme="majorEastAsia" w:hAnsi="Cambria" w:cstheme="majorBidi"/>
          <w:sz w:val="24"/>
          <w:szCs w:val="24"/>
        </w:rPr>
        <w:t xml:space="preserve"> (Penguin Group Publishing, 5</w:t>
      </w:r>
      <w:r w:rsidRPr="00C74A2C">
        <w:rPr>
          <w:rFonts w:ascii="Cambria" w:eastAsiaTheme="majorEastAsia" w:hAnsi="Cambria" w:cstheme="majorBidi"/>
          <w:sz w:val="24"/>
          <w:szCs w:val="24"/>
          <w:vertAlign w:val="superscript"/>
        </w:rPr>
        <w:t>th</w:t>
      </w:r>
      <w:r w:rsidRPr="00C74A2C">
        <w:rPr>
          <w:rFonts w:ascii="Cambria" w:eastAsiaTheme="majorEastAsia" w:hAnsi="Cambria" w:cstheme="majorBidi"/>
          <w:sz w:val="24"/>
          <w:szCs w:val="24"/>
        </w:rPr>
        <w:t xml:space="preserve"> </w:t>
      </w:r>
      <w:proofErr w:type="spellStart"/>
      <w:r w:rsidRPr="00C74A2C">
        <w:rPr>
          <w:rFonts w:ascii="Cambria" w:eastAsiaTheme="majorEastAsia" w:hAnsi="Cambria" w:cstheme="majorBidi"/>
          <w:sz w:val="24"/>
          <w:szCs w:val="24"/>
        </w:rPr>
        <w:t>ed</w:t>
      </w:r>
      <w:proofErr w:type="spellEnd"/>
      <w:r w:rsidRPr="00C74A2C">
        <w:rPr>
          <w:rFonts w:ascii="Cambria" w:eastAsiaTheme="majorEastAsia" w:hAnsi="Cambria" w:cstheme="majorBidi"/>
          <w:sz w:val="24"/>
          <w:szCs w:val="24"/>
        </w:rPr>
        <w:t>, 2006)</w:t>
      </w:r>
    </w:p>
    <w:p w14:paraId="02B8AD68" w14:textId="77777777" w:rsidR="00EC2712" w:rsidRDefault="00EC2712" w:rsidP="00EC2712">
      <w:pPr>
        <w:pStyle w:val="FootnoteText"/>
        <w:rPr>
          <w:rFonts w:ascii="Cambria" w:eastAsiaTheme="majorEastAsia" w:hAnsi="Cambria" w:cstheme="majorBidi"/>
          <w:sz w:val="24"/>
          <w:szCs w:val="24"/>
        </w:rPr>
      </w:pPr>
    </w:p>
    <w:p w14:paraId="01E11FA3" w14:textId="77777777" w:rsidR="00EC2712" w:rsidRPr="00C74A2C" w:rsidRDefault="00EC2712" w:rsidP="00EC2712">
      <w:pPr>
        <w:pStyle w:val="FootnoteText"/>
        <w:rPr>
          <w:rFonts w:ascii="Cambria" w:eastAsiaTheme="majorEastAsia" w:hAnsi="Cambria" w:cstheme="majorBidi"/>
          <w:sz w:val="24"/>
          <w:szCs w:val="24"/>
        </w:rPr>
      </w:pPr>
      <w:r w:rsidRPr="00C74A2C">
        <w:rPr>
          <w:rFonts w:ascii="Cambria" w:eastAsiaTheme="majorEastAsia" w:hAnsi="Cambria" w:cstheme="majorBidi"/>
          <w:sz w:val="24"/>
          <w:szCs w:val="24"/>
        </w:rPr>
        <w:t>Asquith</w:t>
      </w:r>
      <w:r>
        <w:rPr>
          <w:rFonts w:ascii="Cambria" w:eastAsiaTheme="majorEastAsia" w:hAnsi="Cambria" w:cstheme="majorBidi"/>
          <w:sz w:val="24"/>
          <w:szCs w:val="24"/>
        </w:rPr>
        <w:t>, Nicole L.</w:t>
      </w:r>
      <w:r w:rsidRPr="00C74A2C">
        <w:rPr>
          <w:rFonts w:ascii="Cambria" w:eastAsiaTheme="majorEastAsia" w:hAnsi="Cambria" w:cstheme="majorBidi"/>
          <w:sz w:val="24"/>
          <w:szCs w:val="24"/>
        </w:rPr>
        <w:t xml:space="preserve"> and Isabelle </w:t>
      </w:r>
      <w:proofErr w:type="spellStart"/>
      <w:r w:rsidRPr="00C74A2C">
        <w:rPr>
          <w:rFonts w:ascii="Cambria" w:eastAsiaTheme="majorEastAsia" w:hAnsi="Cambria" w:cstheme="majorBidi"/>
          <w:sz w:val="24"/>
          <w:szCs w:val="24"/>
        </w:rPr>
        <w:t>Bartkowiak</w:t>
      </w:r>
      <w:proofErr w:type="spellEnd"/>
      <w:r w:rsidRPr="00C74A2C">
        <w:rPr>
          <w:rFonts w:ascii="Cambria" w:eastAsiaTheme="majorEastAsia" w:hAnsi="Cambria" w:cstheme="majorBidi"/>
          <w:sz w:val="24"/>
          <w:szCs w:val="24"/>
        </w:rPr>
        <w:t xml:space="preserve">-Theron, ‘Vulnerability and Diversity in Policing’ in Isabelle </w:t>
      </w:r>
      <w:proofErr w:type="spellStart"/>
      <w:r w:rsidRPr="00C74A2C">
        <w:rPr>
          <w:rFonts w:ascii="Cambria" w:eastAsiaTheme="majorEastAsia" w:hAnsi="Cambria" w:cstheme="majorBidi"/>
          <w:sz w:val="24"/>
          <w:szCs w:val="24"/>
        </w:rPr>
        <w:t>Bartkowiak</w:t>
      </w:r>
      <w:proofErr w:type="spellEnd"/>
      <w:r w:rsidRPr="00C74A2C">
        <w:rPr>
          <w:rFonts w:ascii="Cambria" w:eastAsiaTheme="majorEastAsia" w:hAnsi="Cambria" w:cstheme="majorBidi"/>
          <w:sz w:val="24"/>
          <w:szCs w:val="24"/>
        </w:rPr>
        <w:t>-Theron and Nicole L. Asquith (</w:t>
      </w:r>
      <w:proofErr w:type="spellStart"/>
      <w:r w:rsidRPr="00C74A2C">
        <w:rPr>
          <w:rFonts w:ascii="Cambria" w:eastAsiaTheme="majorEastAsia" w:hAnsi="Cambria" w:cstheme="majorBidi"/>
          <w:sz w:val="24"/>
          <w:szCs w:val="24"/>
        </w:rPr>
        <w:t>eds</w:t>
      </w:r>
      <w:proofErr w:type="spellEnd"/>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Policing Vulnerability</w:t>
      </w:r>
      <w:r w:rsidRPr="00C74A2C">
        <w:rPr>
          <w:rFonts w:ascii="Cambria" w:eastAsiaTheme="majorEastAsia" w:hAnsi="Cambria" w:cstheme="majorBidi"/>
          <w:sz w:val="24"/>
          <w:szCs w:val="24"/>
        </w:rPr>
        <w:t xml:space="preserve"> (Federation Press, 2012) 3</w:t>
      </w:r>
    </w:p>
    <w:p w14:paraId="3487742E" w14:textId="77777777" w:rsidR="00EC2712" w:rsidRPr="00C74A2C" w:rsidRDefault="00EC2712" w:rsidP="00EC2712">
      <w:pPr>
        <w:pStyle w:val="FootnoteText"/>
        <w:rPr>
          <w:rFonts w:ascii="Cambria" w:eastAsiaTheme="majorEastAsia" w:hAnsi="Cambria" w:cstheme="majorBidi"/>
          <w:sz w:val="24"/>
          <w:szCs w:val="24"/>
        </w:rPr>
      </w:pPr>
    </w:p>
    <w:p w14:paraId="4B80C985" w14:textId="77777777" w:rsidR="00EC2712" w:rsidRDefault="00EC2712" w:rsidP="00EC2712">
      <w:pPr>
        <w:rPr>
          <w:rFonts w:ascii="Cambria" w:eastAsiaTheme="majorEastAsia" w:hAnsi="Cambria" w:cstheme="majorBidi"/>
          <w:sz w:val="24"/>
          <w:szCs w:val="24"/>
        </w:rPr>
      </w:pPr>
      <w:r w:rsidRPr="00C74A2C">
        <w:rPr>
          <w:rFonts w:ascii="Cambria" w:eastAsiaTheme="majorEastAsia" w:hAnsi="Cambria" w:cstheme="majorBidi"/>
          <w:sz w:val="24"/>
          <w:szCs w:val="24"/>
        </w:rPr>
        <w:t>Butt</w:t>
      </w:r>
      <w:r>
        <w:rPr>
          <w:rFonts w:ascii="Cambria" w:eastAsiaTheme="majorEastAsia" w:hAnsi="Cambria" w:cstheme="majorBidi"/>
          <w:sz w:val="24"/>
          <w:szCs w:val="24"/>
        </w:rPr>
        <w:t>, Peter</w:t>
      </w:r>
      <w:r w:rsidRPr="00C74A2C">
        <w:rPr>
          <w:rFonts w:ascii="Cambria" w:eastAsiaTheme="majorEastAsia" w:hAnsi="Cambria" w:cstheme="majorBidi"/>
          <w:sz w:val="24"/>
          <w:szCs w:val="24"/>
        </w:rPr>
        <w:t xml:space="preserve"> (</w:t>
      </w:r>
      <w:proofErr w:type="spellStart"/>
      <w:r w:rsidRPr="00C74A2C">
        <w:rPr>
          <w:rFonts w:ascii="Cambria" w:eastAsiaTheme="majorEastAsia" w:hAnsi="Cambria" w:cstheme="majorBidi"/>
          <w:sz w:val="24"/>
          <w:szCs w:val="24"/>
        </w:rPr>
        <w:t>ed</w:t>
      </w:r>
      <w:proofErr w:type="spellEnd"/>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Butterworth’s Concise Australian Legal Dictionary</w:t>
      </w:r>
      <w:r w:rsidRPr="00C74A2C">
        <w:rPr>
          <w:rFonts w:ascii="Cambria" w:eastAsiaTheme="majorEastAsia" w:hAnsi="Cambria" w:cstheme="majorBidi"/>
          <w:sz w:val="24"/>
          <w:szCs w:val="24"/>
        </w:rPr>
        <w:t xml:space="preserve"> (Lexis Nexis, 3</w:t>
      </w:r>
      <w:r w:rsidRPr="00C74A2C">
        <w:rPr>
          <w:rFonts w:ascii="Cambria" w:eastAsiaTheme="majorEastAsia" w:hAnsi="Cambria" w:cstheme="majorBidi"/>
          <w:sz w:val="24"/>
          <w:szCs w:val="24"/>
          <w:vertAlign w:val="superscript"/>
        </w:rPr>
        <w:t>rd</w:t>
      </w:r>
      <w:r w:rsidRPr="00C74A2C">
        <w:rPr>
          <w:rFonts w:ascii="Cambria" w:eastAsiaTheme="majorEastAsia" w:hAnsi="Cambria" w:cstheme="majorBidi"/>
          <w:sz w:val="24"/>
          <w:szCs w:val="24"/>
        </w:rPr>
        <w:t xml:space="preserve"> </w:t>
      </w:r>
      <w:proofErr w:type="spellStart"/>
      <w:r w:rsidRPr="00C74A2C">
        <w:rPr>
          <w:rFonts w:ascii="Cambria" w:eastAsiaTheme="majorEastAsia" w:hAnsi="Cambria" w:cstheme="majorBidi"/>
          <w:sz w:val="24"/>
          <w:szCs w:val="24"/>
        </w:rPr>
        <w:t>ed</w:t>
      </w:r>
      <w:proofErr w:type="spellEnd"/>
      <w:r w:rsidRPr="00C74A2C">
        <w:rPr>
          <w:rFonts w:ascii="Cambria" w:eastAsiaTheme="majorEastAsia" w:hAnsi="Cambria" w:cstheme="majorBidi"/>
          <w:sz w:val="24"/>
          <w:szCs w:val="24"/>
        </w:rPr>
        <w:t>, 2004)</w:t>
      </w:r>
    </w:p>
    <w:p w14:paraId="26BFCA16" w14:textId="77777777" w:rsidR="00EC2712" w:rsidRDefault="00EC2712" w:rsidP="00EC2712">
      <w:pPr>
        <w:pStyle w:val="FootnoteText"/>
        <w:rPr>
          <w:rFonts w:ascii="Cambria" w:eastAsiaTheme="majorEastAsia" w:hAnsi="Cambria" w:cstheme="majorBidi"/>
          <w:sz w:val="24"/>
          <w:szCs w:val="24"/>
        </w:rPr>
      </w:pPr>
      <w:r w:rsidRPr="00C74A2C">
        <w:rPr>
          <w:rFonts w:ascii="Cambria" w:eastAsiaTheme="majorEastAsia" w:hAnsi="Cambria" w:cstheme="majorBidi"/>
          <w:sz w:val="24"/>
          <w:szCs w:val="24"/>
        </w:rPr>
        <w:t>Campbell</w:t>
      </w:r>
      <w:r>
        <w:rPr>
          <w:rFonts w:ascii="Cambria" w:eastAsiaTheme="majorEastAsia" w:hAnsi="Cambria" w:cstheme="majorBidi"/>
          <w:sz w:val="24"/>
          <w:szCs w:val="24"/>
        </w:rPr>
        <w:t>, Liz</w:t>
      </w:r>
      <w:r w:rsidRPr="00C74A2C">
        <w:rPr>
          <w:rFonts w:ascii="Cambria" w:eastAsiaTheme="majorEastAsia" w:hAnsi="Cambria" w:cstheme="majorBidi"/>
          <w:sz w:val="24"/>
          <w:szCs w:val="24"/>
        </w:rPr>
        <w:t xml:space="preserve"> and Nessa Lynch, ‘Competing Paradigms? The Use of DNA Powers in Youth Justice’ (2012) 12(1) </w:t>
      </w:r>
      <w:r w:rsidRPr="00C74A2C">
        <w:rPr>
          <w:rFonts w:ascii="Cambria" w:eastAsiaTheme="majorEastAsia" w:hAnsi="Cambria" w:cstheme="majorBidi"/>
          <w:i/>
          <w:iCs/>
          <w:sz w:val="24"/>
          <w:szCs w:val="24"/>
        </w:rPr>
        <w:t>Youth Justice</w:t>
      </w:r>
      <w:r w:rsidRPr="00C74A2C">
        <w:rPr>
          <w:rFonts w:ascii="Cambria" w:eastAsiaTheme="majorEastAsia" w:hAnsi="Cambria" w:cstheme="majorBidi"/>
          <w:sz w:val="24"/>
          <w:szCs w:val="24"/>
        </w:rPr>
        <w:t xml:space="preserve"> 3</w:t>
      </w:r>
    </w:p>
    <w:p w14:paraId="26B86E82" w14:textId="77777777" w:rsidR="00EC2712" w:rsidRPr="00C74A2C" w:rsidRDefault="00EC2712" w:rsidP="00EC2712">
      <w:pPr>
        <w:pStyle w:val="FootnoteText"/>
        <w:rPr>
          <w:rFonts w:ascii="Cambria" w:eastAsiaTheme="majorEastAsia" w:hAnsi="Cambria" w:cstheme="majorBidi"/>
          <w:sz w:val="24"/>
          <w:szCs w:val="24"/>
        </w:rPr>
      </w:pPr>
    </w:p>
    <w:p w14:paraId="6F61F42A" w14:textId="77777777" w:rsidR="00270FD3" w:rsidRPr="00270FD3" w:rsidRDefault="00EC2712" w:rsidP="00270FD3">
      <w:pPr>
        <w:rPr>
          <w:rFonts w:ascii="Cambria" w:eastAsiaTheme="majorEastAsia" w:hAnsi="Cambria" w:cstheme="majorBidi"/>
          <w:sz w:val="24"/>
          <w:szCs w:val="24"/>
        </w:rPr>
      </w:pPr>
      <w:proofErr w:type="spellStart"/>
      <w:r w:rsidRPr="00C74A2C">
        <w:rPr>
          <w:rFonts w:ascii="Cambria" w:eastAsiaTheme="majorEastAsia" w:hAnsi="Cambria" w:cstheme="majorBidi"/>
          <w:sz w:val="24"/>
          <w:szCs w:val="24"/>
        </w:rPr>
        <w:t>Cuneen</w:t>
      </w:r>
      <w:proofErr w:type="spellEnd"/>
      <w:r w:rsidRPr="00C74A2C">
        <w:rPr>
          <w:rFonts w:ascii="Cambria" w:eastAsiaTheme="majorEastAsia" w:hAnsi="Cambria" w:cstheme="majorBidi"/>
          <w:sz w:val="24"/>
          <w:szCs w:val="24"/>
        </w:rPr>
        <w:t>,</w:t>
      </w:r>
      <w:r>
        <w:rPr>
          <w:rFonts w:ascii="Cambria" w:eastAsiaTheme="majorEastAsia" w:hAnsi="Cambria" w:cstheme="majorBidi"/>
          <w:sz w:val="24"/>
          <w:szCs w:val="24"/>
        </w:rPr>
        <w:t xml:space="preserve"> Chris,</w:t>
      </w:r>
      <w:r w:rsidRPr="00C74A2C">
        <w:rPr>
          <w:rFonts w:ascii="Cambria" w:eastAsiaTheme="majorEastAsia" w:hAnsi="Cambria" w:cstheme="majorBidi"/>
          <w:sz w:val="24"/>
          <w:szCs w:val="24"/>
        </w:rPr>
        <w:t xml:space="preserve"> Rob White and Kelly Richards</w:t>
      </w:r>
      <w:r w:rsidRPr="00C74A2C">
        <w:rPr>
          <w:rFonts w:ascii="Cambria" w:eastAsiaTheme="majorEastAsia" w:hAnsi="Cambria" w:cstheme="majorBidi"/>
          <w:i/>
          <w:sz w:val="24"/>
          <w:szCs w:val="24"/>
        </w:rPr>
        <w:t xml:space="preserve">, Juvenile Justice: Youth and Crime in </w:t>
      </w:r>
      <w:r w:rsidRPr="00270FD3">
        <w:rPr>
          <w:rFonts w:ascii="Cambria" w:eastAsiaTheme="majorEastAsia" w:hAnsi="Cambria" w:cstheme="majorBidi"/>
          <w:i/>
          <w:sz w:val="24"/>
          <w:szCs w:val="24"/>
        </w:rPr>
        <w:t>Australia</w:t>
      </w:r>
      <w:r w:rsidRPr="00270FD3">
        <w:rPr>
          <w:rFonts w:ascii="Cambria" w:eastAsiaTheme="majorEastAsia" w:hAnsi="Cambria" w:cstheme="majorBidi"/>
          <w:sz w:val="24"/>
          <w:szCs w:val="24"/>
        </w:rPr>
        <w:t xml:space="preserve"> (Oxford University Press, 5</w:t>
      </w:r>
      <w:r w:rsidRPr="00270FD3">
        <w:rPr>
          <w:rFonts w:ascii="Cambria" w:eastAsiaTheme="majorEastAsia" w:hAnsi="Cambria" w:cstheme="majorBidi"/>
          <w:sz w:val="24"/>
          <w:szCs w:val="24"/>
          <w:vertAlign w:val="superscript"/>
        </w:rPr>
        <w:t>th</w:t>
      </w:r>
      <w:r w:rsidRPr="00270FD3">
        <w:rPr>
          <w:rFonts w:ascii="Cambria" w:eastAsiaTheme="majorEastAsia" w:hAnsi="Cambria" w:cstheme="majorBidi"/>
          <w:sz w:val="24"/>
          <w:szCs w:val="24"/>
        </w:rPr>
        <w:t xml:space="preserve"> </w:t>
      </w:r>
      <w:proofErr w:type="spellStart"/>
      <w:r w:rsidRPr="00270FD3">
        <w:rPr>
          <w:rFonts w:ascii="Cambria" w:eastAsiaTheme="majorEastAsia" w:hAnsi="Cambria" w:cstheme="majorBidi"/>
          <w:sz w:val="24"/>
          <w:szCs w:val="24"/>
        </w:rPr>
        <w:t>ed</w:t>
      </w:r>
      <w:proofErr w:type="spellEnd"/>
      <w:r w:rsidRPr="00270FD3">
        <w:rPr>
          <w:rFonts w:ascii="Cambria" w:eastAsiaTheme="majorEastAsia" w:hAnsi="Cambria" w:cstheme="majorBidi"/>
          <w:sz w:val="24"/>
          <w:szCs w:val="24"/>
        </w:rPr>
        <w:t>, 2015)</w:t>
      </w:r>
    </w:p>
    <w:p w14:paraId="11939E79" w14:textId="1FE7ACB0" w:rsidR="00270FD3" w:rsidRPr="00270FD3" w:rsidRDefault="00270FD3" w:rsidP="00270FD3">
      <w:pPr>
        <w:rPr>
          <w:rFonts w:ascii="Cambria" w:eastAsiaTheme="majorEastAsia" w:hAnsi="Cambria" w:cstheme="majorBidi"/>
          <w:sz w:val="24"/>
          <w:szCs w:val="24"/>
        </w:rPr>
      </w:pPr>
      <w:proofErr w:type="spellStart"/>
      <w:r w:rsidRPr="00270FD3">
        <w:rPr>
          <w:rFonts w:ascii="Cambria" w:hAnsi="Cambria"/>
          <w:sz w:val="24"/>
          <w:szCs w:val="24"/>
        </w:rPr>
        <w:t>Gans</w:t>
      </w:r>
      <w:proofErr w:type="spellEnd"/>
      <w:r w:rsidRPr="00270FD3">
        <w:rPr>
          <w:rFonts w:ascii="Cambria" w:hAnsi="Cambria"/>
          <w:sz w:val="24"/>
          <w:szCs w:val="24"/>
        </w:rPr>
        <w:t xml:space="preserve">, Jeremy and </w:t>
      </w:r>
      <w:proofErr w:type="spellStart"/>
      <w:r w:rsidRPr="00270FD3">
        <w:rPr>
          <w:rFonts w:ascii="Cambria" w:hAnsi="Cambria"/>
          <w:sz w:val="24"/>
          <w:szCs w:val="24"/>
        </w:rPr>
        <w:t>Gregor</w:t>
      </w:r>
      <w:proofErr w:type="spellEnd"/>
      <w:r w:rsidRPr="00270FD3">
        <w:rPr>
          <w:rFonts w:ascii="Cambria" w:hAnsi="Cambria"/>
          <w:sz w:val="24"/>
          <w:szCs w:val="24"/>
        </w:rPr>
        <w:t xml:space="preserve"> </w:t>
      </w:r>
      <w:proofErr w:type="spellStart"/>
      <w:r w:rsidRPr="00270FD3">
        <w:rPr>
          <w:rFonts w:ascii="Cambria" w:hAnsi="Cambria"/>
          <w:sz w:val="24"/>
          <w:szCs w:val="24"/>
        </w:rPr>
        <w:t>Urbas</w:t>
      </w:r>
      <w:proofErr w:type="spellEnd"/>
      <w:r w:rsidRPr="00270FD3">
        <w:rPr>
          <w:rFonts w:ascii="Cambria" w:hAnsi="Cambria"/>
          <w:sz w:val="24"/>
          <w:szCs w:val="24"/>
        </w:rPr>
        <w:t>, ‘DNA Identification in the Criminal Justice System’ (Research Paper, No 226, Australian Institute of Criminology, May 2002)</w:t>
      </w:r>
    </w:p>
    <w:p w14:paraId="2E78A7D7" w14:textId="77777777" w:rsidR="00EC2712" w:rsidRPr="00E33658" w:rsidRDefault="00EC2712" w:rsidP="00EC2712">
      <w:pPr>
        <w:pStyle w:val="FootnoteText"/>
        <w:rPr>
          <w:rFonts w:ascii="Cambria" w:eastAsiaTheme="majorEastAsia" w:hAnsi="Cambria" w:cstheme="majorBidi"/>
          <w:sz w:val="24"/>
          <w:szCs w:val="24"/>
        </w:rPr>
      </w:pPr>
      <w:proofErr w:type="spellStart"/>
      <w:r w:rsidRPr="00B23570">
        <w:rPr>
          <w:rFonts w:ascii="Cambria" w:eastAsiaTheme="majorEastAsia" w:hAnsi="Cambria" w:cstheme="majorBidi"/>
          <w:sz w:val="24"/>
          <w:szCs w:val="24"/>
        </w:rPr>
        <w:t>Haesler</w:t>
      </w:r>
      <w:proofErr w:type="spellEnd"/>
      <w:r>
        <w:rPr>
          <w:rFonts w:ascii="Cambria" w:eastAsiaTheme="majorEastAsia" w:hAnsi="Cambria" w:cstheme="majorBidi"/>
          <w:sz w:val="24"/>
          <w:szCs w:val="24"/>
        </w:rPr>
        <w:t>, Andrew</w:t>
      </w:r>
      <w:r w:rsidRPr="00B23570">
        <w:rPr>
          <w:rFonts w:ascii="Cambria" w:eastAsiaTheme="majorEastAsia" w:hAnsi="Cambria" w:cstheme="majorBidi"/>
          <w:sz w:val="24"/>
          <w:szCs w:val="24"/>
        </w:rPr>
        <w:t xml:space="preserve">, ‘DNA and Policing’ (2001) 79 </w:t>
      </w:r>
      <w:r w:rsidRPr="00B23570">
        <w:rPr>
          <w:rFonts w:ascii="Cambria" w:eastAsiaTheme="majorEastAsia" w:hAnsi="Cambria" w:cstheme="majorBidi"/>
          <w:i/>
          <w:sz w:val="24"/>
          <w:szCs w:val="24"/>
        </w:rPr>
        <w:t xml:space="preserve">Australian Law </w:t>
      </w:r>
      <w:r w:rsidRPr="00B23570">
        <w:rPr>
          <w:rFonts w:ascii="Cambria" w:eastAsiaTheme="majorEastAsia" w:hAnsi="Cambria" w:cstheme="majorBidi"/>
          <w:i/>
          <w:iCs/>
          <w:sz w:val="24"/>
          <w:szCs w:val="24"/>
        </w:rPr>
        <w:t>Reform Commission - Reform Journal</w:t>
      </w:r>
      <w:r w:rsidRPr="00B23570">
        <w:rPr>
          <w:rFonts w:ascii="Cambria" w:eastAsiaTheme="majorEastAsia" w:hAnsi="Cambria" w:cstheme="majorBidi"/>
          <w:sz w:val="24"/>
          <w:szCs w:val="24"/>
        </w:rPr>
        <w:t xml:space="preserve"> 27</w:t>
      </w:r>
    </w:p>
    <w:p w14:paraId="65CBBCDE" w14:textId="77777777" w:rsidR="00EC2712" w:rsidRPr="00E33658" w:rsidRDefault="00EC2712" w:rsidP="00EC2712">
      <w:pPr>
        <w:pStyle w:val="FootnoteText"/>
        <w:rPr>
          <w:rFonts w:ascii="Cambria" w:hAnsi="Cambria"/>
          <w:sz w:val="24"/>
          <w:szCs w:val="24"/>
        </w:rPr>
      </w:pPr>
    </w:p>
    <w:p w14:paraId="541981B7" w14:textId="77777777" w:rsidR="00EC2712" w:rsidRPr="00C74A2C" w:rsidRDefault="00EC2712" w:rsidP="00EC2712">
      <w:pPr>
        <w:pStyle w:val="FootnoteText"/>
        <w:rPr>
          <w:rFonts w:ascii="Cambria" w:eastAsiaTheme="majorEastAsia" w:hAnsi="Cambria" w:cstheme="majorBidi"/>
          <w:sz w:val="24"/>
          <w:szCs w:val="24"/>
        </w:rPr>
      </w:pPr>
      <w:r w:rsidRPr="00C74A2C">
        <w:rPr>
          <w:rFonts w:ascii="Cambria" w:eastAsiaTheme="majorEastAsia" w:hAnsi="Cambria" w:cstheme="majorBidi"/>
          <w:sz w:val="24"/>
          <w:szCs w:val="24"/>
        </w:rPr>
        <w:t>Wallace,</w:t>
      </w:r>
      <w:r>
        <w:rPr>
          <w:rFonts w:ascii="Cambria" w:eastAsiaTheme="majorEastAsia" w:hAnsi="Cambria" w:cstheme="majorBidi"/>
          <w:sz w:val="24"/>
          <w:szCs w:val="24"/>
        </w:rPr>
        <w:t xml:space="preserve"> Helen,</w:t>
      </w:r>
      <w:r w:rsidRPr="00C74A2C">
        <w:rPr>
          <w:rFonts w:ascii="Cambria" w:eastAsiaTheme="majorEastAsia" w:hAnsi="Cambria" w:cstheme="majorBidi"/>
          <w:sz w:val="24"/>
          <w:szCs w:val="24"/>
        </w:rPr>
        <w:t xml:space="preserve"> ‘The UK National DNA Database’ (2006) 7 </w:t>
      </w:r>
      <w:r w:rsidRPr="00C74A2C">
        <w:rPr>
          <w:rFonts w:ascii="Cambria" w:eastAsiaTheme="majorEastAsia" w:hAnsi="Cambria" w:cstheme="majorBidi"/>
          <w:i/>
          <w:iCs/>
          <w:sz w:val="24"/>
          <w:szCs w:val="24"/>
        </w:rPr>
        <w:t>European Molecular Biology</w:t>
      </w:r>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 xml:space="preserve">Organization Reports </w:t>
      </w:r>
      <w:r w:rsidRPr="00C74A2C">
        <w:rPr>
          <w:rFonts w:ascii="Cambria" w:eastAsiaTheme="majorEastAsia" w:hAnsi="Cambria" w:cstheme="majorBidi"/>
          <w:sz w:val="24"/>
          <w:szCs w:val="24"/>
        </w:rPr>
        <w:t>26</w:t>
      </w:r>
    </w:p>
    <w:p w14:paraId="719226FD" w14:textId="77777777" w:rsidR="00EC2712" w:rsidRDefault="00EC2712" w:rsidP="00EC2712">
      <w:pPr>
        <w:pStyle w:val="FootnoteText"/>
        <w:rPr>
          <w:rFonts w:ascii="Cambria" w:hAnsi="Cambria"/>
          <w:sz w:val="24"/>
          <w:szCs w:val="24"/>
        </w:rPr>
      </w:pPr>
    </w:p>
    <w:p w14:paraId="0EEEAC21" w14:textId="77777777" w:rsidR="00EC2712" w:rsidRDefault="00EC2712" w:rsidP="00EC2712">
      <w:pPr>
        <w:pStyle w:val="FootnoteText"/>
        <w:rPr>
          <w:rFonts w:ascii="Cambria" w:hAnsi="Cambria"/>
          <w:sz w:val="24"/>
          <w:szCs w:val="24"/>
        </w:rPr>
      </w:pPr>
      <w:r w:rsidRPr="00B23570">
        <w:rPr>
          <w:rFonts w:ascii="Cambria" w:hAnsi="Cambria"/>
          <w:sz w:val="24"/>
          <w:szCs w:val="24"/>
        </w:rPr>
        <w:t>Hutchinson,</w:t>
      </w:r>
      <w:r>
        <w:rPr>
          <w:rFonts w:ascii="Cambria" w:hAnsi="Cambria"/>
          <w:sz w:val="24"/>
          <w:szCs w:val="24"/>
        </w:rPr>
        <w:t xml:space="preserve"> Terry,</w:t>
      </w:r>
      <w:r w:rsidRPr="00B23570">
        <w:rPr>
          <w:rFonts w:ascii="Cambria" w:hAnsi="Cambria"/>
          <w:sz w:val="24"/>
          <w:szCs w:val="24"/>
        </w:rPr>
        <w:t xml:space="preserve"> ‘“A Slap on the Wrist”? The Conservative Agenda in Queensland, Australia’ (2015) 15(2) </w:t>
      </w:r>
      <w:r w:rsidRPr="00B23570">
        <w:rPr>
          <w:rFonts w:ascii="Cambria" w:hAnsi="Cambria"/>
          <w:i/>
          <w:sz w:val="24"/>
          <w:szCs w:val="24"/>
        </w:rPr>
        <w:t>Youth Justice</w:t>
      </w:r>
      <w:r w:rsidRPr="00B23570">
        <w:rPr>
          <w:rFonts w:ascii="Cambria" w:hAnsi="Cambria"/>
          <w:sz w:val="24"/>
          <w:szCs w:val="24"/>
        </w:rPr>
        <w:t xml:space="preserve"> 134</w:t>
      </w:r>
    </w:p>
    <w:p w14:paraId="754E16F9" w14:textId="77777777" w:rsidR="00EC2712" w:rsidRPr="00E33658" w:rsidRDefault="00EC2712" w:rsidP="00EC2712">
      <w:pPr>
        <w:pStyle w:val="FootnoteText"/>
        <w:rPr>
          <w:rFonts w:ascii="Cambria" w:hAnsi="Cambria"/>
          <w:sz w:val="24"/>
          <w:szCs w:val="24"/>
        </w:rPr>
      </w:pPr>
    </w:p>
    <w:p w14:paraId="4FD43602" w14:textId="77777777" w:rsidR="00EC2712" w:rsidRPr="00C74A2C" w:rsidRDefault="00EC2712" w:rsidP="00EC2712">
      <w:pPr>
        <w:rPr>
          <w:rFonts w:ascii="Cambria" w:eastAsiaTheme="majorEastAsia" w:hAnsi="Cambria" w:cstheme="majorBidi"/>
          <w:sz w:val="24"/>
          <w:szCs w:val="24"/>
        </w:rPr>
      </w:pPr>
      <w:r w:rsidRPr="00C74A2C">
        <w:rPr>
          <w:rFonts w:ascii="Cambria" w:hAnsi="Cambria"/>
          <w:sz w:val="24"/>
          <w:szCs w:val="24"/>
        </w:rPr>
        <w:t>Kaye,</w:t>
      </w:r>
      <w:r>
        <w:rPr>
          <w:rFonts w:ascii="Cambria" w:hAnsi="Cambria"/>
          <w:sz w:val="24"/>
          <w:szCs w:val="24"/>
        </w:rPr>
        <w:t xml:space="preserve"> </w:t>
      </w:r>
      <w:r w:rsidRPr="00C74A2C">
        <w:rPr>
          <w:rFonts w:ascii="Cambria" w:hAnsi="Cambria"/>
          <w:sz w:val="24"/>
          <w:szCs w:val="24"/>
        </w:rPr>
        <w:t>David</w:t>
      </w:r>
      <w:r>
        <w:rPr>
          <w:rFonts w:ascii="Cambria" w:hAnsi="Cambria"/>
          <w:sz w:val="24"/>
          <w:szCs w:val="24"/>
        </w:rPr>
        <w:t>,</w:t>
      </w:r>
      <w:r w:rsidRPr="00C74A2C">
        <w:rPr>
          <w:rFonts w:ascii="Cambria" w:hAnsi="Cambria"/>
          <w:sz w:val="24"/>
          <w:szCs w:val="24"/>
        </w:rPr>
        <w:t xml:space="preserve"> ‘Trawling DNA Databases for Partial Matches: What is the FBI Afraid Of?’ (2009) 19(1) </w:t>
      </w:r>
      <w:r w:rsidRPr="00C74A2C">
        <w:rPr>
          <w:rFonts w:ascii="Cambria" w:hAnsi="Cambria"/>
          <w:i/>
          <w:sz w:val="24"/>
          <w:szCs w:val="24"/>
        </w:rPr>
        <w:t>Journal of Law and Public Policy</w:t>
      </w:r>
      <w:r w:rsidRPr="00C74A2C">
        <w:rPr>
          <w:rFonts w:ascii="Cambria" w:hAnsi="Cambria"/>
          <w:sz w:val="24"/>
          <w:szCs w:val="24"/>
        </w:rPr>
        <w:t xml:space="preserve"> 145</w:t>
      </w:r>
    </w:p>
    <w:p w14:paraId="1B28C5C4" w14:textId="77777777" w:rsidR="00EC2712" w:rsidRPr="00E33658" w:rsidRDefault="00EC2712" w:rsidP="00EC2712">
      <w:pPr>
        <w:pStyle w:val="FootnoteText"/>
        <w:rPr>
          <w:rFonts w:ascii="Cambria" w:hAnsi="Cambria"/>
          <w:sz w:val="24"/>
          <w:szCs w:val="24"/>
        </w:rPr>
      </w:pPr>
      <w:proofErr w:type="spellStart"/>
      <w:r w:rsidRPr="00C74A2C">
        <w:rPr>
          <w:rFonts w:ascii="Cambria" w:hAnsi="Cambria"/>
          <w:sz w:val="24"/>
          <w:szCs w:val="24"/>
        </w:rPr>
        <w:t>Kimmelman</w:t>
      </w:r>
      <w:proofErr w:type="spellEnd"/>
      <w:r w:rsidRPr="00C74A2C">
        <w:rPr>
          <w:rFonts w:ascii="Cambria" w:hAnsi="Cambria"/>
          <w:sz w:val="24"/>
          <w:szCs w:val="24"/>
        </w:rPr>
        <w:t xml:space="preserve">, </w:t>
      </w:r>
      <w:r>
        <w:rPr>
          <w:rFonts w:ascii="Cambria" w:hAnsi="Cambria"/>
          <w:sz w:val="24"/>
          <w:szCs w:val="24"/>
        </w:rPr>
        <w:t xml:space="preserve">Jonathan, </w:t>
      </w:r>
      <w:r w:rsidRPr="00C74A2C">
        <w:rPr>
          <w:rFonts w:ascii="Cambria" w:hAnsi="Cambria"/>
          <w:sz w:val="24"/>
          <w:szCs w:val="24"/>
        </w:rPr>
        <w:t xml:space="preserve">‘Risking Ethical Insolvency: A Survey of Trends in Criminal DNA </w:t>
      </w:r>
      <w:proofErr w:type="spellStart"/>
      <w:r w:rsidRPr="00C74A2C">
        <w:rPr>
          <w:rFonts w:ascii="Cambria" w:hAnsi="Cambria"/>
          <w:sz w:val="24"/>
          <w:szCs w:val="24"/>
        </w:rPr>
        <w:t>Databanking</w:t>
      </w:r>
      <w:proofErr w:type="spellEnd"/>
      <w:r w:rsidRPr="00C74A2C">
        <w:rPr>
          <w:rFonts w:ascii="Cambria" w:hAnsi="Cambria"/>
          <w:sz w:val="24"/>
          <w:szCs w:val="24"/>
        </w:rPr>
        <w:t xml:space="preserve">’ (2000) 28(3) </w:t>
      </w:r>
      <w:r w:rsidRPr="00C74A2C">
        <w:rPr>
          <w:rFonts w:ascii="Cambria" w:hAnsi="Cambria"/>
          <w:i/>
          <w:sz w:val="24"/>
          <w:szCs w:val="24"/>
        </w:rPr>
        <w:t>Journal of Law, Medicine and Ethics</w:t>
      </w:r>
      <w:r w:rsidRPr="00C74A2C">
        <w:rPr>
          <w:rFonts w:ascii="Cambria" w:hAnsi="Cambria"/>
          <w:sz w:val="24"/>
          <w:szCs w:val="24"/>
        </w:rPr>
        <w:t xml:space="preserve"> 209</w:t>
      </w:r>
    </w:p>
    <w:p w14:paraId="0637BE48" w14:textId="77777777" w:rsidR="00EC2712" w:rsidRDefault="00EC2712" w:rsidP="00EC2712">
      <w:pPr>
        <w:pStyle w:val="FootnoteText"/>
        <w:rPr>
          <w:rFonts w:ascii="Cambria" w:eastAsiaTheme="majorEastAsia" w:hAnsi="Cambria" w:cstheme="majorBidi"/>
          <w:sz w:val="24"/>
          <w:szCs w:val="24"/>
        </w:rPr>
      </w:pPr>
    </w:p>
    <w:p w14:paraId="238B8DF9" w14:textId="77777777" w:rsidR="00EC2712" w:rsidRPr="00C74A2C" w:rsidRDefault="00EC2712" w:rsidP="00EC2712">
      <w:pPr>
        <w:pStyle w:val="FootnoteText"/>
        <w:rPr>
          <w:rFonts w:ascii="Cambria" w:eastAsiaTheme="majorEastAsia" w:hAnsi="Cambria" w:cstheme="majorBidi"/>
          <w:sz w:val="24"/>
          <w:szCs w:val="24"/>
        </w:rPr>
      </w:pPr>
      <w:r w:rsidRPr="00C74A2C">
        <w:rPr>
          <w:rFonts w:ascii="Cambria" w:eastAsiaTheme="majorEastAsia" w:hAnsi="Cambria" w:cstheme="majorBidi"/>
          <w:sz w:val="24"/>
          <w:szCs w:val="24"/>
        </w:rPr>
        <w:t>Levitt</w:t>
      </w:r>
      <w:r>
        <w:rPr>
          <w:rFonts w:ascii="Cambria" w:eastAsiaTheme="majorEastAsia" w:hAnsi="Cambria" w:cstheme="majorBidi"/>
          <w:sz w:val="24"/>
          <w:szCs w:val="24"/>
        </w:rPr>
        <w:t xml:space="preserve">, </w:t>
      </w:r>
      <w:proofErr w:type="spellStart"/>
      <w:r>
        <w:rPr>
          <w:rFonts w:ascii="Cambria" w:eastAsiaTheme="majorEastAsia" w:hAnsi="Cambria" w:cstheme="majorBidi"/>
          <w:sz w:val="24"/>
          <w:szCs w:val="24"/>
        </w:rPr>
        <w:t>Mairi</w:t>
      </w:r>
      <w:proofErr w:type="spellEnd"/>
      <w:r w:rsidRPr="00C74A2C">
        <w:rPr>
          <w:rFonts w:ascii="Cambria" w:eastAsiaTheme="majorEastAsia" w:hAnsi="Cambria" w:cstheme="majorBidi"/>
          <w:sz w:val="24"/>
          <w:szCs w:val="24"/>
        </w:rPr>
        <w:t xml:space="preserve"> and Floris </w:t>
      </w:r>
      <w:proofErr w:type="spellStart"/>
      <w:r w:rsidRPr="00C74A2C">
        <w:rPr>
          <w:rFonts w:ascii="Cambria" w:eastAsiaTheme="majorEastAsia" w:hAnsi="Cambria" w:cstheme="majorBidi"/>
          <w:sz w:val="24"/>
          <w:szCs w:val="24"/>
        </w:rPr>
        <w:t>Tomasini</w:t>
      </w:r>
      <w:proofErr w:type="spellEnd"/>
      <w:r w:rsidRPr="00C74A2C">
        <w:rPr>
          <w:rFonts w:ascii="Cambria" w:eastAsiaTheme="majorEastAsia" w:hAnsi="Cambria" w:cstheme="majorBidi"/>
          <w:sz w:val="24"/>
          <w:szCs w:val="24"/>
        </w:rPr>
        <w:t>, ‘Bar-coded children: an exploration of</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sz w:val="24"/>
          <w:szCs w:val="24"/>
        </w:rPr>
        <w:t xml:space="preserve">issues around the inclusion of children on the England and Wales national DNA database’ (2006) 2(1) </w:t>
      </w:r>
      <w:r w:rsidRPr="00C74A2C">
        <w:rPr>
          <w:rFonts w:ascii="Cambria" w:eastAsiaTheme="majorEastAsia" w:hAnsi="Cambria" w:cstheme="majorBidi"/>
          <w:i/>
          <w:iCs/>
          <w:sz w:val="24"/>
          <w:szCs w:val="24"/>
        </w:rPr>
        <w:t>Genomics, Society and Policy</w:t>
      </w:r>
      <w:r w:rsidRPr="00C74A2C">
        <w:rPr>
          <w:rFonts w:ascii="Cambria" w:eastAsiaTheme="majorEastAsia" w:hAnsi="Cambria" w:cstheme="majorBidi"/>
          <w:sz w:val="24"/>
          <w:szCs w:val="24"/>
        </w:rPr>
        <w:t xml:space="preserve"> 41</w:t>
      </w:r>
    </w:p>
    <w:p w14:paraId="3BD25DAD" w14:textId="77777777" w:rsidR="00EC2712" w:rsidRDefault="00EC2712" w:rsidP="00EC2712">
      <w:pPr>
        <w:pStyle w:val="FootnoteText"/>
        <w:rPr>
          <w:rFonts w:ascii="Cambria" w:eastAsiaTheme="majorEastAsia" w:hAnsi="Cambria" w:cs="Times New Roman"/>
          <w:color w:val="000000" w:themeColor="text1"/>
          <w:sz w:val="24"/>
          <w:szCs w:val="24"/>
        </w:rPr>
      </w:pPr>
    </w:p>
    <w:p w14:paraId="106095FC" w14:textId="77777777" w:rsidR="00EC2712" w:rsidRDefault="00EC2712" w:rsidP="00EC2712">
      <w:pPr>
        <w:pStyle w:val="FootnoteText"/>
        <w:rPr>
          <w:rFonts w:ascii="Cambria" w:eastAsiaTheme="majorEastAsia" w:hAnsi="Cambria" w:cs="Times New Roman"/>
          <w:iCs/>
          <w:color w:val="000000" w:themeColor="text1"/>
          <w:sz w:val="24"/>
          <w:szCs w:val="24"/>
        </w:rPr>
      </w:pPr>
      <w:r w:rsidRPr="00B23570">
        <w:rPr>
          <w:rFonts w:ascii="Cambria" w:eastAsiaTheme="majorEastAsia" w:hAnsi="Cambria" w:cs="Times New Roman"/>
          <w:color w:val="000000" w:themeColor="text1"/>
          <w:sz w:val="24"/>
          <w:szCs w:val="24"/>
        </w:rPr>
        <w:t>Lincoln,</w:t>
      </w:r>
      <w:r>
        <w:rPr>
          <w:rFonts w:ascii="Cambria" w:eastAsiaTheme="majorEastAsia" w:hAnsi="Cambria" w:cs="Times New Roman"/>
          <w:color w:val="000000" w:themeColor="text1"/>
          <w:sz w:val="24"/>
          <w:szCs w:val="24"/>
        </w:rPr>
        <w:t xml:space="preserve"> Robyn,</w:t>
      </w:r>
      <w:r w:rsidRPr="00B23570">
        <w:rPr>
          <w:rFonts w:ascii="Cambria" w:eastAsiaTheme="majorEastAsia" w:hAnsi="Cambria" w:cs="Times New Roman"/>
          <w:color w:val="000000" w:themeColor="text1"/>
          <w:sz w:val="24"/>
          <w:szCs w:val="24"/>
        </w:rPr>
        <w:t xml:space="preserve"> ‘Human Rights (and Wrongs) of DNA Testing and Evidence’ (2001) 7 </w:t>
      </w:r>
      <w:r w:rsidRPr="00B23570">
        <w:rPr>
          <w:rFonts w:ascii="Cambria" w:eastAsiaTheme="majorEastAsia" w:hAnsi="Cambria" w:cs="Times New Roman"/>
          <w:i/>
          <w:iCs/>
          <w:color w:val="000000" w:themeColor="text1"/>
          <w:sz w:val="24"/>
          <w:szCs w:val="24"/>
        </w:rPr>
        <w:t>The National</w:t>
      </w:r>
      <w:r w:rsidRPr="00B23570">
        <w:rPr>
          <w:rFonts w:ascii="Cambria" w:eastAsiaTheme="majorEastAsia" w:hAnsi="Cambria" w:cs="Times New Roman"/>
          <w:color w:val="000000" w:themeColor="text1"/>
          <w:sz w:val="24"/>
          <w:szCs w:val="24"/>
        </w:rPr>
        <w:t xml:space="preserve"> </w:t>
      </w:r>
      <w:r w:rsidRPr="00B23570">
        <w:rPr>
          <w:rFonts w:ascii="Cambria" w:eastAsiaTheme="majorEastAsia" w:hAnsi="Cambria" w:cs="Times New Roman"/>
          <w:i/>
          <w:iCs/>
          <w:color w:val="000000" w:themeColor="text1"/>
          <w:sz w:val="24"/>
          <w:szCs w:val="24"/>
        </w:rPr>
        <w:t xml:space="preserve">Legal Eagle </w:t>
      </w:r>
      <w:r w:rsidRPr="00B23570">
        <w:rPr>
          <w:rFonts w:ascii="Cambria" w:eastAsiaTheme="majorEastAsia" w:hAnsi="Cambria" w:cs="Times New Roman"/>
          <w:iCs/>
          <w:color w:val="000000" w:themeColor="text1"/>
          <w:sz w:val="24"/>
          <w:szCs w:val="24"/>
        </w:rPr>
        <w:t>3</w:t>
      </w:r>
    </w:p>
    <w:p w14:paraId="646699BE" w14:textId="77777777" w:rsidR="00EC2712" w:rsidRPr="00E33658" w:rsidRDefault="00EC2712" w:rsidP="00EC2712">
      <w:pPr>
        <w:pStyle w:val="FootnoteText"/>
        <w:rPr>
          <w:rFonts w:ascii="Cambria" w:hAnsi="Cambria"/>
          <w:sz w:val="24"/>
          <w:szCs w:val="24"/>
        </w:rPr>
      </w:pPr>
    </w:p>
    <w:p w14:paraId="4F250CE0" w14:textId="77777777" w:rsidR="00EC2712" w:rsidRPr="0014235E" w:rsidRDefault="00EC2712" w:rsidP="00EC2712">
      <w:pPr>
        <w:rPr>
          <w:rFonts w:ascii="Cambria" w:hAnsi="Cambria"/>
          <w:sz w:val="24"/>
          <w:szCs w:val="24"/>
        </w:rPr>
      </w:pPr>
      <w:r>
        <w:rPr>
          <w:rFonts w:ascii="Cambria" w:hAnsi="Cambria"/>
          <w:sz w:val="24"/>
          <w:szCs w:val="24"/>
        </w:rPr>
        <w:t>McCartney, Carole</w:t>
      </w:r>
      <w:r w:rsidRPr="00DF7053">
        <w:rPr>
          <w:rFonts w:ascii="Cambria" w:hAnsi="Cambria"/>
          <w:sz w:val="24"/>
          <w:szCs w:val="24"/>
        </w:rPr>
        <w:t>, ‘Forensic DNA Sampling and the England and Wales National DNA Database: A Sceptical Approach’ (2004) 12</w:t>
      </w:r>
      <w:r w:rsidRPr="0014235E">
        <w:rPr>
          <w:rFonts w:ascii="Cambria" w:hAnsi="Cambria"/>
          <w:sz w:val="24"/>
          <w:szCs w:val="24"/>
        </w:rPr>
        <w:t xml:space="preserve">(2) </w:t>
      </w:r>
      <w:r w:rsidRPr="0014235E">
        <w:rPr>
          <w:rFonts w:ascii="Cambria" w:hAnsi="Cambria"/>
          <w:i/>
          <w:sz w:val="24"/>
          <w:szCs w:val="24"/>
        </w:rPr>
        <w:t>Critical Criminology</w:t>
      </w:r>
      <w:r w:rsidRPr="0014235E">
        <w:rPr>
          <w:rFonts w:ascii="Cambria" w:hAnsi="Cambria"/>
          <w:sz w:val="24"/>
          <w:szCs w:val="24"/>
        </w:rPr>
        <w:t xml:space="preserve"> 157</w:t>
      </w:r>
    </w:p>
    <w:p w14:paraId="5B6BDB12" w14:textId="77777777" w:rsidR="00EC2712" w:rsidRPr="00B96E31" w:rsidRDefault="00EC2712" w:rsidP="00EC2712">
      <w:pPr>
        <w:rPr>
          <w:rFonts w:ascii="Cambria" w:hAnsi="Cambria"/>
          <w:sz w:val="24"/>
          <w:szCs w:val="24"/>
        </w:rPr>
      </w:pPr>
      <w:r w:rsidRPr="006A6CE4">
        <w:rPr>
          <w:rFonts w:ascii="Cambria" w:eastAsiaTheme="majorEastAsia" w:hAnsi="Cambria" w:cstheme="majorBidi"/>
          <w:sz w:val="24"/>
          <w:szCs w:val="24"/>
        </w:rPr>
        <w:lastRenderedPageBreak/>
        <w:t xml:space="preserve">McCartney, </w:t>
      </w:r>
      <w:r>
        <w:rPr>
          <w:rFonts w:ascii="Cambria" w:eastAsiaTheme="majorEastAsia" w:hAnsi="Cambria" w:cstheme="majorBidi"/>
          <w:sz w:val="24"/>
          <w:szCs w:val="24"/>
        </w:rPr>
        <w:t xml:space="preserve">Carole, </w:t>
      </w:r>
      <w:r w:rsidRPr="006A6CE4">
        <w:rPr>
          <w:rFonts w:ascii="Cambria" w:eastAsiaTheme="majorEastAsia" w:hAnsi="Cambria" w:cstheme="majorBidi"/>
          <w:sz w:val="24"/>
          <w:szCs w:val="24"/>
        </w:rPr>
        <w:t>‘The DNA Expansion Programme and Criminal Inv</w:t>
      </w:r>
      <w:r w:rsidRPr="002109D4">
        <w:rPr>
          <w:rFonts w:ascii="Cambria" w:eastAsiaTheme="majorEastAsia" w:hAnsi="Cambria" w:cstheme="majorBidi"/>
          <w:sz w:val="24"/>
          <w:szCs w:val="24"/>
        </w:rPr>
        <w:t>estigation’ (2006) 46</w:t>
      </w:r>
      <w:r w:rsidRPr="00B96E31">
        <w:rPr>
          <w:rFonts w:ascii="Cambria" w:eastAsiaTheme="majorEastAsia" w:hAnsi="Cambria" w:cstheme="majorBidi"/>
          <w:sz w:val="24"/>
          <w:szCs w:val="24"/>
        </w:rPr>
        <w:t xml:space="preserve">(2) </w:t>
      </w:r>
      <w:r w:rsidRPr="00B96E31">
        <w:rPr>
          <w:rFonts w:ascii="Cambria" w:eastAsiaTheme="majorEastAsia" w:hAnsi="Cambria" w:cstheme="majorBidi"/>
          <w:i/>
          <w:sz w:val="24"/>
          <w:szCs w:val="24"/>
        </w:rPr>
        <w:t>British Journal of Criminology</w:t>
      </w:r>
      <w:r w:rsidRPr="00B96E31">
        <w:rPr>
          <w:rFonts w:ascii="Cambria" w:eastAsiaTheme="majorEastAsia" w:hAnsi="Cambria" w:cstheme="majorBidi"/>
          <w:sz w:val="24"/>
          <w:szCs w:val="24"/>
        </w:rPr>
        <w:t xml:space="preserve"> 175</w:t>
      </w:r>
    </w:p>
    <w:p w14:paraId="53C01861" w14:textId="77777777" w:rsidR="00EC2712" w:rsidRDefault="00EC2712" w:rsidP="00EC2712">
      <w:pPr>
        <w:tabs>
          <w:tab w:val="left" w:pos="200"/>
        </w:tabs>
        <w:spacing w:after="0" w:line="240" w:lineRule="auto"/>
        <w:jc w:val="both"/>
        <w:rPr>
          <w:rFonts w:ascii="Cambria" w:eastAsiaTheme="majorEastAsia" w:hAnsi="Cambria" w:cstheme="majorBidi"/>
          <w:sz w:val="24"/>
          <w:szCs w:val="24"/>
        </w:rPr>
      </w:pPr>
      <w:proofErr w:type="spellStart"/>
      <w:r w:rsidRPr="00C74A2C">
        <w:rPr>
          <w:rFonts w:ascii="Cambria" w:eastAsiaTheme="majorEastAsia" w:hAnsi="Cambria" w:cstheme="majorBidi"/>
          <w:sz w:val="24"/>
          <w:szCs w:val="24"/>
        </w:rPr>
        <w:t>Morss</w:t>
      </w:r>
      <w:proofErr w:type="spellEnd"/>
      <w:r w:rsidRPr="00C74A2C">
        <w:rPr>
          <w:rFonts w:ascii="Cambria" w:eastAsiaTheme="majorEastAsia" w:hAnsi="Cambria" w:cstheme="majorBidi"/>
          <w:sz w:val="24"/>
          <w:szCs w:val="24"/>
        </w:rPr>
        <w:t xml:space="preserve">, </w:t>
      </w:r>
      <w:r>
        <w:rPr>
          <w:rFonts w:ascii="Cambria" w:eastAsiaTheme="majorEastAsia" w:hAnsi="Cambria" w:cstheme="majorBidi"/>
          <w:sz w:val="24"/>
          <w:szCs w:val="24"/>
        </w:rPr>
        <w:t xml:space="preserve">John R., </w:t>
      </w:r>
      <w:r w:rsidRPr="00C74A2C">
        <w:rPr>
          <w:rFonts w:ascii="Cambria" w:eastAsiaTheme="majorEastAsia" w:hAnsi="Cambria" w:cstheme="majorBidi"/>
          <w:sz w:val="24"/>
          <w:szCs w:val="24"/>
        </w:rPr>
        <w:t>‘But for the Barriers: Significant Extensions to Children’s Capacity’ (2004) 11(2)</w:t>
      </w:r>
      <w:r w:rsidRPr="00C74A2C">
        <w:rPr>
          <w:rFonts w:ascii="Cambria" w:eastAsiaTheme="majorEastAsia" w:hAnsi="Cambria" w:cstheme="majorBidi"/>
          <w:i/>
          <w:iCs/>
          <w:sz w:val="24"/>
          <w:szCs w:val="24"/>
        </w:rPr>
        <w:t xml:space="preserve"> Psychiatry, Psychology and the Law</w:t>
      </w:r>
      <w:r w:rsidRPr="00C74A2C">
        <w:rPr>
          <w:rFonts w:ascii="Cambria" w:eastAsiaTheme="majorEastAsia" w:hAnsi="Cambria" w:cstheme="majorBidi"/>
          <w:sz w:val="24"/>
          <w:szCs w:val="24"/>
        </w:rPr>
        <w:t xml:space="preserve"> 319</w:t>
      </w:r>
    </w:p>
    <w:p w14:paraId="0B742F16" w14:textId="77777777" w:rsidR="00EC2712" w:rsidRDefault="00EC2712" w:rsidP="00EC2712">
      <w:pPr>
        <w:tabs>
          <w:tab w:val="left" w:pos="200"/>
        </w:tabs>
        <w:spacing w:after="0" w:line="240" w:lineRule="auto"/>
        <w:jc w:val="both"/>
        <w:rPr>
          <w:rFonts w:ascii="Cambria" w:eastAsiaTheme="majorEastAsia" w:hAnsi="Cambria" w:cstheme="majorBidi"/>
          <w:sz w:val="24"/>
          <w:szCs w:val="24"/>
        </w:rPr>
      </w:pPr>
    </w:p>
    <w:p w14:paraId="033F1D69" w14:textId="77777777" w:rsidR="00EC2712" w:rsidRPr="00B23570" w:rsidRDefault="00EC2712" w:rsidP="00EC2712">
      <w:pPr>
        <w:rPr>
          <w:rFonts w:ascii="Cambria" w:eastAsiaTheme="majorEastAsia" w:hAnsi="Cambria" w:cstheme="majorBidi"/>
          <w:sz w:val="24"/>
          <w:szCs w:val="24"/>
        </w:rPr>
      </w:pPr>
      <w:proofErr w:type="spellStart"/>
      <w:r w:rsidRPr="00B23570">
        <w:rPr>
          <w:rFonts w:ascii="Cambria" w:eastAsiaTheme="majorEastAsia" w:hAnsi="Cambria" w:cstheme="majorBidi"/>
          <w:sz w:val="24"/>
          <w:szCs w:val="24"/>
        </w:rPr>
        <w:t>Semikjodskii</w:t>
      </w:r>
      <w:proofErr w:type="spellEnd"/>
      <w:r w:rsidRPr="00B23570">
        <w:rPr>
          <w:rFonts w:ascii="Cambria" w:eastAsiaTheme="majorEastAsia" w:hAnsi="Cambria" w:cstheme="majorBidi"/>
          <w:sz w:val="24"/>
          <w:szCs w:val="24"/>
        </w:rPr>
        <w:t>, Andre</w:t>
      </w:r>
      <w:r>
        <w:rPr>
          <w:rFonts w:ascii="Cambria" w:eastAsiaTheme="majorEastAsia" w:hAnsi="Cambria" w:cstheme="majorBidi"/>
          <w:iCs/>
          <w:sz w:val="24"/>
          <w:szCs w:val="24"/>
        </w:rPr>
        <w:t>i</w:t>
      </w:r>
      <w:r>
        <w:rPr>
          <w:rFonts w:ascii="Cambria" w:eastAsiaTheme="majorEastAsia" w:hAnsi="Cambria" w:cstheme="majorBidi"/>
          <w:i/>
          <w:iCs/>
          <w:sz w:val="24"/>
          <w:szCs w:val="24"/>
        </w:rPr>
        <w:t xml:space="preserve">, </w:t>
      </w:r>
      <w:r w:rsidRPr="00B23570">
        <w:rPr>
          <w:rFonts w:ascii="Cambria" w:eastAsiaTheme="majorEastAsia" w:hAnsi="Cambria" w:cstheme="majorBidi"/>
          <w:i/>
          <w:iCs/>
          <w:sz w:val="24"/>
          <w:szCs w:val="24"/>
        </w:rPr>
        <w:t>Dealing with DNA Evidence: A Legal Guide</w:t>
      </w:r>
      <w:r w:rsidRPr="00B23570">
        <w:rPr>
          <w:rFonts w:ascii="Cambria" w:eastAsiaTheme="majorEastAsia" w:hAnsi="Cambria" w:cstheme="majorBidi"/>
          <w:sz w:val="24"/>
          <w:szCs w:val="24"/>
        </w:rPr>
        <w:t xml:space="preserve"> (Routledge, 2007)</w:t>
      </w:r>
    </w:p>
    <w:p w14:paraId="27580463" w14:textId="77777777" w:rsidR="00EC2712" w:rsidRPr="00DF7053" w:rsidRDefault="00EC2712" w:rsidP="00EC2712">
      <w:pPr>
        <w:rPr>
          <w:rFonts w:ascii="Cambria" w:hAnsi="Cambria"/>
          <w:sz w:val="24"/>
          <w:szCs w:val="24"/>
        </w:rPr>
      </w:pPr>
      <w:proofErr w:type="spellStart"/>
      <w:r w:rsidRPr="00B23570">
        <w:rPr>
          <w:rFonts w:ascii="Cambria" w:hAnsi="Cambria"/>
          <w:sz w:val="24"/>
          <w:szCs w:val="24"/>
        </w:rPr>
        <w:t>Steventon</w:t>
      </w:r>
      <w:proofErr w:type="spellEnd"/>
      <w:r w:rsidRPr="00B23570">
        <w:rPr>
          <w:rFonts w:ascii="Cambria" w:hAnsi="Cambria"/>
          <w:sz w:val="24"/>
          <w:szCs w:val="24"/>
        </w:rPr>
        <w:t xml:space="preserve">, </w:t>
      </w:r>
      <w:r>
        <w:rPr>
          <w:rFonts w:ascii="Cambria" w:hAnsi="Cambria"/>
          <w:sz w:val="24"/>
          <w:szCs w:val="24"/>
        </w:rPr>
        <w:t xml:space="preserve">Beverley, </w:t>
      </w:r>
      <w:r w:rsidRPr="00B23570">
        <w:rPr>
          <w:rFonts w:ascii="Cambria" w:hAnsi="Cambria"/>
          <w:sz w:val="24"/>
          <w:szCs w:val="24"/>
        </w:rPr>
        <w:t>‘Creating a DNA Database’ (1995) 59</w:t>
      </w:r>
      <w:r w:rsidRPr="00800FA1">
        <w:rPr>
          <w:rFonts w:ascii="Cambria" w:hAnsi="Cambria"/>
          <w:sz w:val="24"/>
          <w:szCs w:val="24"/>
        </w:rPr>
        <w:t xml:space="preserve">(4) </w:t>
      </w:r>
      <w:r w:rsidRPr="00EB1852">
        <w:rPr>
          <w:rFonts w:ascii="Cambria" w:hAnsi="Cambria"/>
          <w:i/>
          <w:sz w:val="24"/>
          <w:szCs w:val="24"/>
        </w:rPr>
        <w:t>Journal of Criminal Law</w:t>
      </w:r>
      <w:r w:rsidRPr="00EB1852">
        <w:rPr>
          <w:rFonts w:ascii="Cambria" w:hAnsi="Cambria"/>
          <w:sz w:val="24"/>
          <w:szCs w:val="24"/>
        </w:rPr>
        <w:t xml:space="preserve"> 41</w:t>
      </w:r>
      <w:r w:rsidRPr="00DF7053">
        <w:rPr>
          <w:rFonts w:ascii="Cambria" w:hAnsi="Cambria"/>
          <w:sz w:val="24"/>
          <w:szCs w:val="24"/>
        </w:rPr>
        <w:t>1</w:t>
      </w:r>
    </w:p>
    <w:p w14:paraId="76AD0921" w14:textId="77777777" w:rsidR="00EC2712" w:rsidRPr="00C74A2C" w:rsidRDefault="00EC2712" w:rsidP="00EC2712">
      <w:pPr>
        <w:rPr>
          <w:rFonts w:ascii="Cambria" w:eastAsiaTheme="majorEastAsia" w:hAnsi="Cambria" w:cstheme="majorBidi"/>
          <w:sz w:val="24"/>
          <w:szCs w:val="24"/>
        </w:rPr>
      </w:pPr>
      <w:r w:rsidRPr="00E93F09">
        <w:rPr>
          <w:rFonts w:ascii="Cambria" w:eastAsiaTheme="majorEastAsia" w:hAnsi="Cambria" w:cstheme="majorBidi"/>
          <w:sz w:val="24"/>
          <w:szCs w:val="24"/>
        </w:rPr>
        <w:t>Walsh,</w:t>
      </w:r>
      <w:r w:rsidRPr="00E33658">
        <w:rPr>
          <w:rFonts w:ascii="Cambria" w:eastAsiaTheme="majorEastAsia" w:hAnsi="Cambria" w:cstheme="majorBidi"/>
          <w:sz w:val="24"/>
          <w:szCs w:val="24"/>
        </w:rPr>
        <w:t xml:space="preserve"> </w:t>
      </w:r>
      <w:r w:rsidRPr="00E93F09">
        <w:rPr>
          <w:rFonts w:ascii="Cambria" w:eastAsiaTheme="majorEastAsia" w:hAnsi="Cambria" w:cstheme="majorBidi"/>
          <w:sz w:val="24"/>
          <w:szCs w:val="24"/>
        </w:rPr>
        <w:t>Charlotte</w:t>
      </w:r>
      <w:r>
        <w:rPr>
          <w:rFonts w:ascii="Cambria" w:eastAsiaTheme="majorEastAsia" w:hAnsi="Cambria" w:cstheme="majorBidi"/>
          <w:sz w:val="24"/>
          <w:szCs w:val="24"/>
        </w:rPr>
        <w:t>,</w:t>
      </w:r>
      <w:r w:rsidRPr="00E93F09">
        <w:rPr>
          <w:rFonts w:ascii="Cambria" w:eastAsiaTheme="majorEastAsia" w:hAnsi="Cambria" w:cstheme="majorBidi"/>
          <w:sz w:val="24"/>
          <w:szCs w:val="24"/>
        </w:rPr>
        <w:t xml:space="preserve"> ‘Youth justice and neuroscience: a dual use dilemma’ (2011) 51</w:t>
      </w:r>
      <w:r w:rsidRPr="00CF18DC">
        <w:rPr>
          <w:rFonts w:ascii="Cambria" w:eastAsiaTheme="majorEastAsia" w:hAnsi="Cambria" w:cstheme="majorBidi"/>
          <w:sz w:val="24"/>
          <w:szCs w:val="24"/>
        </w:rPr>
        <w:t xml:space="preserve">(1) </w:t>
      </w:r>
      <w:r w:rsidRPr="00C74A2C">
        <w:rPr>
          <w:rFonts w:ascii="Cambria" w:eastAsiaTheme="majorEastAsia" w:hAnsi="Cambria" w:cstheme="majorBidi"/>
          <w:i/>
          <w:iCs/>
          <w:sz w:val="24"/>
          <w:szCs w:val="24"/>
        </w:rPr>
        <w:t>British Journal of</w:t>
      </w:r>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 xml:space="preserve">Criminology </w:t>
      </w:r>
      <w:r w:rsidRPr="00C74A2C">
        <w:rPr>
          <w:rFonts w:ascii="Cambria" w:eastAsiaTheme="majorEastAsia" w:hAnsi="Cambria" w:cstheme="majorBidi"/>
          <w:sz w:val="24"/>
          <w:szCs w:val="24"/>
        </w:rPr>
        <w:t>21</w:t>
      </w:r>
    </w:p>
    <w:p w14:paraId="3D6DF6EA" w14:textId="405E3206" w:rsidR="00EC2712" w:rsidRPr="00B23570" w:rsidRDefault="00EC2712" w:rsidP="00EC2712">
      <w:pPr>
        <w:rPr>
          <w:rFonts w:ascii="Cambria" w:hAnsi="Cambria"/>
          <w:color w:val="000000" w:themeColor="text1"/>
          <w:sz w:val="24"/>
          <w:szCs w:val="24"/>
        </w:rPr>
      </w:pPr>
      <w:r w:rsidRPr="00C74A2C">
        <w:rPr>
          <w:rFonts w:ascii="Cambria" w:hAnsi="Cambria" w:cs="Times New Roman"/>
          <w:color w:val="000000" w:themeColor="text1"/>
          <w:sz w:val="24"/>
          <w:szCs w:val="24"/>
        </w:rPr>
        <w:t>Williams,</w:t>
      </w:r>
      <w:r>
        <w:rPr>
          <w:rFonts w:ascii="Cambria" w:hAnsi="Cambria" w:cs="Times New Roman"/>
          <w:color w:val="000000" w:themeColor="text1"/>
          <w:sz w:val="24"/>
          <w:szCs w:val="24"/>
        </w:rPr>
        <w:t xml:space="preserve"> Robin,</w:t>
      </w:r>
      <w:r w:rsidRPr="00C74A2C">
        <w:rPr>
          <w:rFonts w:ascii="Cambria" w:hAnsi="Cambria" w:cs="Times New Roman"/>
          <w:color w:val="000000" w:themeColor="text1"/>
          <w:sz w:val="24"/>
          <w:szCs w:val="24"/>
        </w:rPr>
        <w:t xml:space="preserve"> ‘DNA Profiling’ (2008), in Tim Newburn and Peter </w:t>
      </w:r>
      <w:proofErr w:type="spellStart"/>
      <w:r w:rsidRPr="00C74A2C">
        <w:rPr>
          <w:rFonts w:ascii="Cambria" w:hAnsi="Cambria" w:cs="Times New Roman"/>
          <w:color w:val="000000" w:themeColor="text1"/>
          <w:sz w:val="24"/>
          <w:szCs w:val="24"/>
        </w:rPr>
        <w:t>Neyroud</w:t>
      </w:r>
      <w:proofErr w:type="spellEnd"/>
      <w:r w:rsidRPr="00C74A2C">
        <w:rPr>
          <w:rFonts w:ascii="Cambria" w:hAnsi="Cambria" w:cs="Times New Roman"/>
          <w:color w:val="000000" w:themeColor="text1"/>
          <w:sz w:val="24"/>
          <w:szCs w:val="24"/>
        </w:rPr>
        <w:t xml:space="preserve"> (</w:t>
      </w:r>
      <w:proofErr w:type="spellStart"/>
      <w:r w:rsidRPr="00C74A2C">
        <w:rPr>
          <w:rFonts w:ascii="Cambria" w:hAnsi="Cambria" w:cs="Times New Roman"/>
          <w:color w:val="000000" w:themeColor="text1"/>
          <w:sz w:val="24"/>
          <w:szCs w:val="24"/>
        </w:rPr>
        <w:t>eds</w:t>
      </w:r>
      <w:proofErr w:type="spellEnd"/>
      <w:r w:rsidRPr="00C74A2C">
        <w:rPr>
          <w:rFonts w:ascii="Cambria" w:hAnsi="Cambria" w:cs="Times New Roman"/>
          <w:color w:val="000000" w:themeColor="text1"/>
          <w:sz w:val="24"/>
          <w:szCs w:val="24"/>
        </w:rPr>
        <w:t xml:space="preserve">) </w:t>
      </w:r>
      <w:r w:rsidRPr="00C74A2C">
        <w:rPr>
          <w:rFonts w:ascii="Cambria" w:hAnsi="Cambria" w:cs="Times New Roman"/>
          <w:i/>
          <w:color w:val="000000" w:themeColor="text1"/>
          <w:sz w:val="24"/>
          <w:szCs w:val="24"/>
        </w:rPr>
        <w:t>Dictionary of Policing</w:t>
      </w:r>
      <w:r w:rsidRPr="00C74A2C">
        <w:rPr>
          <w:rFonts w:ascii="Cambria" w:hAnsi="Cambria" w:cs="Times New Roman"/>
          <w:color w:val="000000" w:themeColor="text1"/>
          <w:sz w:val="24"/>
          <w:szCs w:val="24"/>
        </w:rPr>
        <w:t xml:space="preserve"> (</w:t>
      </w:r>
      <w:proofErr w:type="spellStart"/>
      <w:r w:rsidRPr="00C74A2C">
        <w:rPr>
          <w:rFonts w:ascii="Cambria" w:hAnsi="Cambria" w:cs="Times New Roman"/>
          <w:color w:val="000000" w:themeColor="text1"/>
          <w:sz w:val="24"/>
          <w:szCs w:val="24"/>
        </w:rPr>
        <w:t>Willan</w:t>
      </w:r>
      <w:proofErr w:type="spellEnd"/>
      <w:r w:rsidRPr="00C74A2C">
        <w:rPr>
          <w:rFonts w:ascii="Cambria" w:hAnsi="Cambria" w:cs="Times New Roman"/>
          <w:color w:val="000000" w:themeColor="text1"/>
          <w:sz w:val="24"/>
          <w:szCs w:val="24"/>
        </w:rPr>
        <w:t xml:space="preserve">, 2008) </w:t>
      </w:r>
      <w:r w:rsidRPr="002E650A">
        <w:rPr>
          <w:rFonts w:ascii="Cambria" w:hAnsi="Cambria" w:cs="Times New Roman"/>
          <w:color w:val="000000" w:themeColor="text1"/>
          <w:sz w:val="24"/>
          <w:szCs w:val="24"/>
        </w:rPr>
        <w:t>86</w:t>
      </w:r>
    </w:p>
    <w:p w14:paraId="3EA632BE" w14:textId="77777777" w:rsidR="00EC2712" w:rsidRPr="00800FA1" w:rsidRDefault="00EC2712" w:rsidP="00671A38">
      <w:pPr>
        <w:spacing w:before="360"/>
        <w:jc w:val="center"/>
        <w:outlineLvl w:val="0"/>
        <w:rPr>
          <w:rFonts w:ascii="Cambria" w:hAnsi="Cambria"/>
          <w:i/>
          <w:color w:val="000000" w:themeColor="text1"/>
          <w:sz w:val="24"/>
          <w:szCs w:val="24"/>
        </w:rPr>
      </w:pPr>
      <w:r w:rsidRPr="00800FA1">
        <w:rPr>
          <w:rFonts w:ascii="Cambria" w:hAnsi="Cambria"/>
          <w:color w:val="000000" w:themeColor="text1"/>
          <w:sz w:val="24"/>
          <w:szCs w:val="24"/>
        </w:rPr>
        <w:t>B</w:t>
      </w:r>
      <w:r w:rsidRPr="00800FA1">
        <w:rPr>
          <w:rFonts w:ascii="Cambria" w:hAnsi="Cambria"/>
          <w:i/>
          <w:color w:val="000000" w:themeColor="text1"/>
          <w:sz w:val="24"/>
          <w:szCs w:val="24"/>
        </w:rPr>
        <w:t xml:space="preserve"> Cases</w:t>
      </w:r>
    </w:p>
    <w:p w14:paraId="08F584A9" w14:textId="77777777" w:rsidR="00EC2712" w:rsidRPr="00DF7053" w:rsidRDefault="00EC2712" w:rsidP="00EC2712">
      <w:pPr>
        <w:rPr>
          <w:rFonts w:ascii="Cambria" w:eastAsiaTheme="majorEastAsia" w:hAnsi="Cambria" w:cstheme="majorBidi"/>
          <w:sz w:val="24"/>
          <w:szCs w:val="24"/>
        </w:rPr>
      </w:pPr>
      <w:r w:rsidRPr="00EB1852">
        <w:rPr>
          <w:rFonts w:ascii="Cambria" w:eastAsiaTheme="majorEastAsia" w:hAnsi="Cambria" w:cstheme="majorBidi"/>
          <w:i/>
          <w:sz w:val="24"/>
          <w:szCs w:val="24"/>
        </w:rPr>
        <w:t xml:space="preserve">B &amp; </w:t>
      </w:r>
      <w:proofErr w:type="spellStart"/>
      <w:r w:rsidRPr="00EB1852">
        <w:rPr>
          <w:rFonts w:ascii="Cambria" w:eastAsiaTheme="majorEastAsia" w:hAnsi="Cambria" w:cstheme="majorBidi"/>
          <w:i/>
          <w:sz w:val="24"/>
          <w:szCs w:val="24"/>
        </w:rPr>
        <w:t>B</w:t>
      </w:r>
      <w:proofErr w:type="spellEnd"/>
      <w:r w:rsidRPr="00EB1852">
        <w:rPr>
          <w:rFonts w:ascii="Cambria" w:eastAsiaTheme="majorEastAsia" w:hAnsi="Cambria" w:cstheme="majorBidi"/>
          <w:i/>
          <w:sz w:val="24"/>
          <w:szCs w:val="24"/>
        </w:rPr>
        <w:t xml:space="preserve"> and Minister for Immigration and Multicultural &amp; Indigenous Affairs</w:t>
      </w:r>
      <w:r w:rsidRPr="00DF7053">
        <w:rPr>
          <w:rFonts w:ascii="Cambria" w:eastAsiaTheme="majorEastAsia" w:hAnsi="Cambria" w:cstheme="majorBidi"/>
          <w:sz w:val="24"/>
          <w:szCs w:val="24"/>
        </w:rPr>
        <w:t xml:space="preserve"> [2003] Fam CA 451</w:t>
      </w:r>
    </w:p>
    <w:p w14:paraId="4DEEEE82" w14:textId="5CB37041" w:rsidR="00EC2712" w:rsidRPr="002109D4" w:rsidRDefault="00EC2712" w:rsidP="00EC2712">
      <w:pPr>
        <w:tabs>
          <w:tab w:val="left" w:pos="180"/>
        </w:tabs>
        <w:spacing w:after="0" w:line="240" w:lineRule="auto"/>
        <w:jc w:val="both"/>
        <w:rPr>
          <w:rFonts w:ascii="Cambria" w:eastAsiaTheme="majorEastAsia" w:hAnsi="Cambria" w:cstheme="majorBidi"/>
          <w:sz w:val="24"/>
          <w:szCs w:val="24"/>
        </w:rPr>
      </w:pPr>
      <w:r w:rsidRPr="0014235E">
        <w:rPr>
          <w:rFonts w:ascii="Cambria" w:eastAsiaTheme="majorEastAsia" w:hAnsi="Cambria" w:cstheme="majorBidi"/>
          <w:i/>
          <w:iCs/>
          <w:sz w:val="24"/>
          <w:szCs w:val="24"/>
        </w:rPr>
        <w:t xml:space="preserve">Department of Health and Community Services </w:t>
      </w:r>
      <w:r w:rsidRPr="0014235E">
        <w:rPr>
          <w:rFonts w:ascii="Cambria" w:eastAsiaTheme="majorEastAsia" w:hAnsi="Cambria" w:cstheme="majorBidi"/>
          <w:sz w:val="24"/>
          <w:szCs w:val="24"/>
        </w:rPr>
        <w:t>(NT)</w:t>
      </w:r>
      <w:r w:rsidRPr="0014235E">
        <w:rPr>
          <w:rFonts w:ascii="Cambria" w:eastAsiaTheme="majorEastAsia" w:hAnsi="Cambria" w:cstheme="majorBidi"/>
          <w:i/>
          <w:iCs/>
          <w:sz w:val="24"/>
          <w:szCs w:val="24"/>
        </w:rPr>
        <w:t xml:space="preserve"> v JWB</w:t>
      </w:r>
      <w:r w:rsidR="00173FAD">
        <w:rPr>
          <w:rFonts w:ascii="Cambria" w:eastAsiaTheme="majorEastAsia" w:hAnsi="Cambria" w:cstheme="majorBidi"/>
          <w:i/>
          <w:iCs/>
          <w:sz w:val="24"/>
          <w:szCs w:val="24"/>
        </w:rPr>
        <w:t xml:space="preserve"> and SMB</w:t>
      </w:r>
      <w:r w:rsidRPr="0014235E">
        <w:rPr>
          <w:rFonts w:ascii="Cambria" w:eastAsiaTheme="majorEastAsia" w:hAnsi="Cambria" w:cstheme="majorBidi"/>
          <w:i/>
          <w:iCs/>
          <w:sz w:val="24"/>
          <w:szCs w:val="24"/>
        </w:rPr>
        <w:t xml:space="preserve"> </w:t>
      </w:r>
      <w:r w:rsidRPr="0014235E">
        <w:rPr>
          <w:rFonts w:ascii="Cambria" w:eastAsiaTheme="majorEastAsia" w:hAnsi="Cambria" w:cstheme="majorBidi"/>
          <w:sz w:val="24"/>
          <w:szCs w:val="24"/>
        </w:rPr>
        <w:t>(</w:t>
      </w:r>
      <w:r w:rsidRPr="006A6CE4">
        <w:rPr>
          <w:rFonts w:ascii="Cambria" w:eastAsiaTheme="majorEastAsia" w:hAnsi="Cambria" w:cstheme="majorBidi"/>
          <w:i/>
          <w:iCs/>
          <w:sz w:val="24"/>
          <w:szCs w:val="24"/>
        </w:rPr>
        <w:t xml:space="preserve">Marion’s </w:t>
      </w:r>
      <w:r w:rsidRPr="006A6CE4">
        <w:rPr>
          <w:rFonts w:ascii="Cambria" w:eastAsiaTheme="majorEastAsia" w:hAnsi="Cambria" w:cstheme="majorBidi"/>
          <w:sz w:val="24"/>
          <w:szCs w:val="24"/>
        </w:rPr>
        <w:t xml:space="preserve">case) </w:t>
      </w:r>
      <w:r w:rsidR="00173FAD">
        <w:rPr>
          <w:rFonts w:ascii="Cambria" w:eastAsiaTheme="majorEastAsia" w:hAnsi="Cambria" w:cstheme="majorBidi"/>
          <w:sz w:val="24"/>
          <w:szCs w:val="24"/>
        </w:rPr>
        <w:t>(</w:t>
      </w:r>
      <w:r w:rsidRPr="006A6CE4">
        <w:rPr>
          <w:rFonts w:ascii="Cambria" w:eastAsiaTheme="majorEastAsia" w:hAnsi="Cambria" w:cstheme="majorBidi"/>
          <w:sz w:val="24"/>
          <w:szCs w:val="24"/>
        </w:rPr>
        <w:t>1992</w:t>
      </w:r>
      <w:r w:rsidR="00173FAD">
        <w:rPr>
          <w:rFonts w:ascii="Cambria" w:eastAsiaTheme="majorEastAsia" w:hAnsi="Cambria" w:cstheme="majorBidi"/>
          <w:sz w:val="24"/>
          <w:szCs w:val="24"/>
        </w:rPr>
        <w:t>)</w:t>
      </w:r>
      <w:r w:rsidRPr="006A6CE4">
        <w:rPr>
          <w:rFonts w:ascii="Cambria" w:eastAsiaTheme="majorEastAsia" w:hAnsi="Cambria" w:cstheme="majorBidi"/>
          <w:sz w:val="24"/>
          <w:szCs w:val="24"/>
        </w:rPr>
        <w:t xml:space="preserve"> 175 CLR</w:t>
      </w:r>
      <w:r w:rsidRPr="002109D4">
        <w:rPr>
          <w:rFonts w:ascii="Cambria" w:eastAsiaTheme="majorEastAsia" w:hAnsi="Cambria" w:cstheme="majorBidi"/>
          <w:sz w:val="24"/>
          <w:szCs w:val="24"/>
        </w:rPr>
        <w:t xml:space="preserve"> 218</w:t>
      </w:r>
    </w:p>
    <w:p w14:paraId="6240C405" w14:textId="77777777" w:rsidR="00EC2712" w:rsidRPr="00B96E31" w:rsidRDefault="00EC2712" w:rsidP="00EC2712">
      <w:pPr>
        <w:pStyle w:val="FootnoteText"/>
        <w:jc w:val="both"/>
        <w:rPr>
          <w:rFonts w:ascii="Cambria" w:eastAsiaTheme="majorEastAsia" w:hAnsi="Cambria" w:cstheme="majorBidi"/>
          <w:i/>
          <w:iCs/>
          <w:sz w:val="24"/>
          <w:szCs w:val="24"/>
        </w:rPr>
      </w:pPr>
    </w:p>
    <w:p w14:paraId="69ACE901" w14:textId="21106AA4" w:rsidR="00EC2712" w:rsidRPr="00CF18DC" w:rsidRDefault="00EC2712" w:rsidP="00EC2712">
      <w:pPr>
        <w:pStyle w:val="FootnoteText"/>
        <w:jc w:val="both"/>
        <w:rPr>
          <w:rFonts w:ascii="Cambria" w:hAnsi="Cambria"/>
          <w:sz w:val="24"/>
          <w:szCs w:val="24"/>
        </w:rPr>
      </w:pPr>
      <w:proofErr w:type="spellStart"/>
      <w:r w:rsidRPr="00E93F09">
        <w:rPr>
          <w:rFonts w:ascii="Cambria" w:eastAsiaTheme="majorEastAsia" w:hAnsi="Cambria" w:cstheme="majorBidi"/>
          <w:i/>
          <w:iCs/>
          <w:sz w:val="24"/>
          <w:szCs w:val="24"/>
        </w:rPr>
        <w:t>Gillick</w:t>
      </w:r>
      <w:proofErr w:type="spellEnd"/>
      <w:r w:rsidRPr="00E93F09">
        <w:rPr>
          <w:rFonts w:ascii="Cambria" w:eastAsiaTheme="majorEastAsia" w:hAnsi="Cambria" w:cstheme="majorBidi"/>
          <w:i/>
          <w:iCs/>
          <w:sz w:val="24"/>
          <w:szCs w:val="24"/>
        </w:rPr>
        <w:t xml:space="preserve"> v West</w:t>
      </w:r>
      <w:r w:rsidR="00173FAD">
        <w:rPr>
          <w:rFonts w:ascii="Cambria" w:eastAsiaTheme="majorEastAsia" w:hAnsi="Cambria" w:cstheme="majorBidi"/>
          <w:i/>
          <w:iCs/>
          <w:sz w:val="24"/>
          <w:szCs w:val="24"/>
        </w:rPr>
        <w:t xml:space="preserve"> N</w:t>
      </w:r>
      <w:r w:rsidRPr="00E93F09">
        <w:rPr>
          <w:rFonts w:ascii="Cambria" w:eastAsiaTheme="majorEastAsia" w:hAnsi="Cambria" w:cstheme="majorBidi"/>
          <w:i/>
          <w:iCs/>
          <w:sz w:val="24"/>
          <w:szCs w:val="24"/>
        </w:rPr>
        <w:t xml:space="preserve">orfolk and </w:t>
      </w:r>
      <w:proofErr w:type="spellStart"/>
      <w:r w:rsidRPr="00E93F09">
        <w:rPr>
          <w:rFonts w:ascii="Cambria" w:eastAsiaTheme="majorEastAsia" w:hAnsi="Cambria" w:cstheme="majorBidi"/>
          <w:i/>
          <w:iCs/>
          <w:sz w:val="24"/>
          <w:szCs w:val="24"/>
        </w:rPr>
        <w:t>Wisbech</w:t>
      </w:r>
      <w:proofErr w:type="spellEnd"/>
      <w:r w:rsidRPr="00E93F09">
        <w:rPr>
          <w:rFonts w:ascii="Cambria" w:eastAsiaTheme="majorEastAsia" w:hAnsi="Cambria" w:cstheme="majorBidi"/>
          <w:i/>
          <w:iCs/>
          <w:sz w:val="24"/>
          <w:szCs w:val="24"/>
        </w:rPr>
        <w:t xml:space="preserve"> Area Health Authority </w:t>
      </w:r>
      <w:r w:rsidRPr="00E93F09">
        <w:rPr>
          <w:rFonts w:ascii="Cambria" w:eastAsiaTheme="majorEastAsia" w:hAnsi="Cambria" w:cstheme="majorBidi"/>
          <w:sz w:val="24"/>
          <w:szCs w:val="24"/>
        </w:rPr>
        <w:t>[1985] AII ER 402</w:t>
      </w:r>
      <w:r>
        <w:rPr>
          <w:rFonts w:ascii="Cambria" w:eastAsiaTheme="majorEastAsia" w:hAnsi="Cambria" w:cstheme="majorBidi"/>
          <w:sz w:val="24"/>
          <w:szCs w:val="24"/>
        </w:rPr>
        <w:t xml:space="preserve"> </w:t>
      </w:r>
    </w:p>
    <w:p w14:paraId="2973A880" w14:textId="77777777" w:rsidR="00EC2712" w:rsidRPr="00C74A2C" w:rsidRDefault="00EC2712" w:rsidP="00671A38">
      <w:pPr>
        <w:spacing w:before="360"/>
        <w:jc w:val="center"/>
        <w:outlineLvl w:val="0"/>
        <w:rPr>
          <w:rFonts w:ascii="Cambria" w:hAnsi="Cambria"/>
          <w:i/>
          <w:color w:val="000000" w:themeColor="text1"/>
          <w:sz w:val="24"/>
          <w:szCs w:val="24"/>
        </w:rPr>
      </w:pPr>
      <w:r w:rsidRPr="00C74A2C">
        <w:rPr>
          <w:rFonts w:ascii="Cambria" w:hAnsi="Cambria"/>
          <w:color w:val="000000" w:themeColor="text1"/>
          <w:sz w:val="24"/>
          <w:szCs w:val="24"/>
        </w:rPr>
        <w:t>C</w:t>
      </w:r>
      <w:r w:rsidRPr="00C74A2C">
        <w:rPr>
          <w:rFonts w:ascii="Cambria" w:hAnsi="Cambria"/>
          <w:i/>
          <w:color w:val="000000" w:themeColor="text1"/>
          <w:sz w:val="24"/>
          <w:szCs w:val="24"/>
        </w:rPr>
        <w:t xml:space="preserve"> Legislation</w:t>
      </w:r>
    </w:p>
    <w:p w14:paraId="551407DF" w14:textId="1D1E977B" w:rsidR="00EC2712" w:rsidRPr="00C74A2C" w:rsidRDefault="00EC2712" w:rsidP="00671A38">
      <w:pPr>
        <w:tabs>
          <w:tab w:val="left" w:pos="200"/>
        </w:tabs>
        <w:spacing w:after="0" w:line="240" w:lineRule="auto"/>
        <w:jc w:val="both"/>
        <w:outlineLvl w:val="0"/>
        <w:rPr>
          <w:rFonts w:ascii="Cambria" w:eastAsiaTheme="majorEastAsia" w:hAnsi="Cambria" w:cstheme="majorBidi"/>
          <w:sz w:val="24"/>
          <w:szCs w:val="24"/>
          <w:vertAlign w:val="superscript"/>
        </w:rPr>
      </w:pPr>
      <w:r w:rsidRPr="00C74A2C">
        <w:rPr>
          <w:rFonts w:ascii="Cambria" w:eastAsiaTheme="majorEastAsia" w:hAnsi="Cambria" w:cstheme="majorBidi"/>
          <w:i/>
          <w:iCs/>
          <w:sz w:val="24"/>
          <w:szCs w:val="24"/>
        </w:rPr>
        <w:t xml:space="preserve">Criminal Code </w:t>
      </w:r>
      <w:r w:rsidR="00173FAD">
        <w:rPr>
          <w:rFonts w:ascii="Cambria" w:eastAsiaTheme="majorEastAsia" w:hAnsi="Cambria" w:cstheme="majorBidi"/>
          <w:i/>
          <w:iCs/>
          <w:sz w:val="24"/>
          <w:szCs w:val="24"/>
        </w:rPr>
        <w:t xml:space="preserve">Act </w:t>
      </w:r>
      <w:r w:rsidRPr="00C74A2C">
        <w:rPr>
          <w:rFonts w:ascii="Cambria" w:eastAsiaTheme="majorEastAsia" w:hAnsi="Cambria" w:cstheme="majorBidi"/>
          <w:i/>
          <w:iCs/>
          <w:sz w:val="24"/>
          <w:szCs w:val="24"/>
        </w:rPr>
        <w:t>1899</w:t>
      </w:r>
      <w:r w:rsidRPr="00C74A2C">
        <w:rPr>
          <w:rFonts w:ascii="Cambria" w:eastAsiaTheme="majorEastAsia" w:hAnsi="Cambria" w:cstheme="majorBidi"/>
          <w:sz w:val="24"/>
          <w:szCs w:val="24"/>
        </w:rPr>
        <w:t xml:space="preserve"> (Qld)</w:t>
      </w:r>
    </w:p>
    <w:p w14:paraId="7C7ED9E3" w14:textId="77777777" w:rsidR="00EC2712" w:rsidRPr="00C74A2C" w:rsidRDefault="00EC2712" w:rsidP="00EC2712">
      <w:pPr>
        <w:tabs>
          <w:tab w:val="left" w:pos="200"/>
        </w:tabs>
        <w:spacing w:after="0" w:line="240" w:lineRule="auto"/>
        <w:jc w:val="both"/>
        <w:rPr>
          <w:rFonts w:ascii="Cambria" w:eastAsiaTheme="majorEastAsia" w:hAnsi="Cambria" w:cstheme="majorBidi"/>
          <w:sz w:val="24"/>
          <w:szCs w:val="24"/>
          <w:vertAlign w:val="superscript"/>
        </w:rPr>
      </w:pPr>
    </w:p>
    <w:p w14:paraId="2979DE8A" w14:textId="77777777" w:rsidR="00EC2712" w:rsidRPr="00C74A2C" w:rsidRDefault="00EC2712" w:rsidP="00671A38">
      <w:pPr>
        <w:tabs>
          <w:tab w:val="left" w:pos="200"/>
        </w:tabs>
        <w:spacing w:after="0" w:line="240" w:lineRule="auto"/>
        <w:jc w:val="both"/>
        <w:outlineLvl w:val="0"/>
        <w:rPr>
          <w:rFonts w:ascii="Cambria" w:eastAsiaTheme="majorEastAsia" w:hAnsi="Cambria" w:cstheme="majorBidi"/>
          <w:sz w:val="24"/>
          <w:szCs w:val="24"/>
          <w:vertAlign w:val="superscript"/>
        </w:rPr>
      </w:pPr>
      <w:r w:rsidRPr="00C74A2C">
        <w:rPr>
          <w:rFonts w:ascii="Cambria" w:eastAsiaTheme="majorEastAsia" w:hAnsi="Cambria" w:cstheme="majorBidi"/>
          <w:i/>
          <w:iCs/>
          <w:sz w:val="24"/>
          <w:szCs w:val="24"/>
        </w:rPr>
        <w:t>Juvenile Justice Act 1992</w:t>
      </w:r>
      <w:r w:rsidRPr="00C74A2C">
        <w:rPr>
          <w:rFonts w:ascii="Cambria" w:eastAsiaTheme="majorEastAsia" w:hAnsi="Cambria" w:cstheme="majorBidi"/>
          <w:sz w:val="24"/>
          <w:szCs w:val="24"/>
        </w:rPr>
        <w:t xml:space="preserve"> (Qld)</w:t>
      </w:r>
    </w:p>
    <w:p w14:paraId="435B1E63" w14:textId="77777777" w:rsidR="00EC2712" w:rsidRPr="00C74A2C" w:rsidRDefault="00EC2712" w:rsidP="00EC2712">
      <w:pPr>
        <w:pStyle w:val="FootnoteText"/>
        <w:jc w:val="both"/>
        <w:rPr>
          <w:rFonts w:ascii="Cambria" w:hAnsi="Cambria"/>
          <w:sz w:val="24"/>
          <w:szCs w:val="24"/>
        </w:rPr>
      </w:pPr>
    </w:p>
    <w:p w14:paraId="19ED711F" w14:textId="0DD7D20C" w:rsidR="00EC2712" w:rsidRPr="00C74A2C" w:rsidRDefault="00EC2712" w:rsidP="0047622D">
      <w:pPr>
        <w:tabs>
          <w:tab w:val="left" w:pos="200"/>
        </w:tabs>
        <w:spacing w:after="0" w:line="240" w:lineRule="auto"/>
        <w:jc w:val="both"/>
      </w:pPr>
      <w:r w:rsidRPr="00C74A2C">
        <w:rPr>
          <w:rFonts w:ascii="Cambria" w:eastAsiaTheme="majorEastAsia" w:hAnsi="Cambria" w:cstheme="majorBidi"/>
          <w:i/>
          <w:iCs/>
          <w:sz w:val="24"/>
          <w:szCs w:val="24"/>
        </w:rPr>
        <w:t xml:space="preserve">Police Powers and Responsibilities Act 2000 </w:t>
      </w:r>
      <w:r w:rsidRPr="00C74A2C">
        <w:rPr>
          <w:rFonts w:ascii="Cambria" w:eastAsiaTheme="majorEastAsia" w:hAnsi="Cambria" w:cstheme="majorBidi"/>
          <w:sz w:val="24"/>
          <w:szCs w:val="24"/>
        </w:rPr>
        <w:t>(Qld)</w:t>
      </w:r>
    </w:p>
    <w:p w14:paraId="45197F4A" w14:textId="77777777" w:rsidR="00EC2712" w:rsidRPr="00C74A2C" w:rsidRDefault="00EC2712" w:rsidP="00671A38">
      <w:pPr>
        <w:spacing w:before="360"/>
        <w:jc w:val="center"/>
        <w:outlineLvl w:val="0"/>
        <w:rPr>
          <w:rFonts w:ascii="Cambria" w:hAnsi="Cambria"/>
          <w:i/>
          <w:color w:val="000000" w:themeColor="text1"/>
          <w:sz w:val="24"/>
          <w:szCs w:val="24"/>
        </w:rPr>
      </w:pPr>
      <w:r w:rsidRPr="00C74A2C">
        <w:rPr>
          <w:rFonts w:ascii="Cambria" w:hAnsi="Cambria"/>
          <w:color w:val="000000" w:themeColor="text1"/>
          <w:sz w:val="24"/>
          <w:szCs w:val="24"/>
        </w:rPr>
        <w:t>D</w:t>
      </w:r>
      <w:r w:rsidRPr="00C74A2C">
        <w:rPr>
          <w:rFonts w:ascii="Cambria" w:hAnsi="Cambria"/>
          <w:i/>
          <w:color w:val="000000" w:themeColor="text1"/>
          <w:sz w:val="24"/>
          <w:szCs w:val="24"/>
        </w:rPr>
        <w:t xml:space="preserve"> Treaties</w:t>
      </w:r>
    </w:p>
    <w:p w14:paraId="7E35093A" w14:textId="77777777" w:rsidR="00EC2712" w:rsidRPr="00C74A2C" w:rsidRDefault="00EC2712" w:rsidP="00EC2712">
      <w:pPr>
        <w:tabs>
          <w:tab w:val="left" w:pos="202"/>
        </w:tabs>
        <w:spacing w:after="0" w:line="240" w:lineRule="auto"/>
        <w:jc w:val="both"/>
        <w:rPr>
          <w:rFonts w:ascii="Cambria" w:eastAsiaTheme="majorEastAsia" w:hAnsi="Cambria" w:cstheme="majorBidi"/>
          <w:sz w:val="24"/>
          <w:szCs w:val="24"/>
          <w:vertAlign w:val="superscript"/>
        </w:rPr>
      </w:pPr>
      <w:r w:rsidRPr="00C74A2C">
        <w:rPr>
          <w:rFonts w:ascii="Cambria" w:eastAsiaTheme="majorEastAsia" w:hAnsi="Cambria" w:cstheme="majorBidi"/>
          <w:i/>
          <w:iCs/>
          <w:sz w:val="24"/>
          <w:szCs w:val="24"/>
        </w:rPr>
        <w:t xml:space="preserve">Convention on the Rights of the Child, </w:t>
      </w:r>
      <w:r w:rsidRPr="00C74A2C">
        <w:rPr>
          <w:rFonts w:ascii="Cambria" w:eastAsiaTheme="majorEastAsia" w:hAnsi="Cambria" w:cstheme="majorBidi"/>
          <w:iCs/>
          <w:sz w:val="24"/>
          <w:szCs w:val="24"/>
        </w:rPr>
        <w:t>o</w:t>
      </w:r>
      <w:r w:rsidRPr="00C74A2C">
        <w:rPr>
          <w:rFonts w:ascii="Cambria" w:eastAsiaTheme="majorEastAsia" w:hAnsi="Cambria" w:cstheme="majorBidi"/>
          <w:sz w:val="24"/>
          <w:szCs w:val="24"/>
        </w:rPr>
        <w:t>pened for signature 20 November 1989, 1577 UNTS 3 (entered into force 2 September 1990)</w:t>
      </w:r>
    </w:p>
    <w:p w14:paraId="53B003FC" w14:textId="77777777" w:rsidR="00EC2712" w:rsidRPr="00C74A2C" w:rsidRDefault="00EC2712" w:rsidP="00EC2712">
      <w:pPr>
        <w:pStyle w:val="FootnoteText"/>
        <w:jc w:val="both"/>
        <w:rPr>
          <w:rFonts w:ascii="Cambria" w:hAnsi="Cambria"/>
          <w:sz w:val="24"/>
          <w:szCs w:val="24"/>
        </w:rPr>
      </w:pPr>
    </w:p>
    <w:p w14:paraId="7E651CC6" w14:textId="045589FD" w:rsidR="00EC2712" w:rsidRPr="00C74A2C" w:rsidRDefault="00EC2712" w:rsidP="0047622D">
      <w:pPr>
        <w:tabs>
          <w:tab w:val="left" w:pos="202"/>
        </w:tabs>
        <w:spacing w:after="0" w:line="240" w:lineRule="auto"/>
        <w:ind w:right="700"/>
        <w:jc w:val="both"/>
        <w:rPr>
          <w:rFonts w:ascii="Cambria" w:hAnsi="Cambria"/>
          <w:color w:val="000000" w:themeColor="text1"/>
          <w:sz w:val="24"/>
          <w:szCs w:val="24"/>
        </w:rPr>
      </w:pPr>
      <w:r w:rsidRPr="00C74A2C">
        <w:rPr>
          <w:rFonts w:ascii="Cambria" w:eastAsiaTheme="majorEastAsia" w:hAnsi="Cambria" w:cstheme="majorBidi"/>
          <w:i/>
          <w:iCs/>
          <w:sz w:val="24"/>
          <w:szCs w:val="24"/>
        </w:rPr>
        <w:t xml:space="preserve">International </w:t>
      </w:r>
      <w:proofErr w:type="spellStart"/>
      <w:r w:rsidRPr="00C74A2C">
        <w:rPr>
          <w:rFonts w:ascii="Cambria" w:eastAsiaTheme="majorEastAsia" w:hAnsi="Cambria" w:cstheme="majorBidi"/>
          <w:i/>
          <w:iCs/>
          <w:sz w:val="24"/>
          <w:szCs w:val="24"/>
        </w:rPr>
        <w:t>Conven</w:t>
      </w:r>
      <w:r w:rsidR="00173FAD">
        <w:rPr>
          <w:rFonts w:ascii="Cambria" w:eastAsiaTheme="majorEastAsia" w:hAnsi="Cambria" w:cstheme="majorBidi"/>
          <w:i/>
          <w:iCs/>
          <w:sz w:val="24"/>
          <w:szCs w:val="24"/>
        </w:rPr>
        <w:t>ant</w:t>
      </w:r>
      <w:proofErr w:type="spellEnd"/>
      <w:r w:rsidR="00173FAD">
        <w:rPr>
          <w:rFonts w:ascii="Cambria" w:eastAsiaTheme="majorEastAsia" w:hAnsi="Cambria" w:cstheme="majorBidi"/>
          <w:i/>
          <w:iCs/>
          <w:sz w:val="24"/>
          <w:szCs w:val="24"/>
        </w:rPr>
        <w:t xml:space="preserve"> on</w:t>
      </w:r>
      <w:r w:rsidRPr="00C74A2C">
        <w:rPr>
          <w:rFonts w:ascii="Cambria" w:eastAsiaTheme="majorEastAsia" w:hAnsi="Cambria" w:cstheme="majorBidi"/>
          <w:i/>
          <w:iCs/>
          <w:sz w:val="24"/>
          <w:szCs w:val="24"/>
        </w:rPr>
        <w:t xml:space="preserve"> Civil and Political Rights</w:t>
      </w:r>
      <w:r w:rsidR="00173FAD">
        <w:rPr>
          <w:rFonts w:ascii="Cambria" w:eastAsiaTheme="majorEastAsia" w:hAnsi="Cambria" w:cstheme="majorBidi"/>
          <w:i/>
          <w:iCs/>
          <w:sz w:val="24"/>
          <w:szCs w:val="24"/>
        </w:rPr>
        <w:t xml:space="preserve">, </w:t>
      </w:r>
      <w:r w:rsidR="00173FAD">
        <w:rPr>
          <w:rFonts w:ascii="Cambria" w:eastAsiaTheme="majorEastAsia" w:hAnsi="Cambria" w:cstheme="majorBidi"/>
          <w:iCs/>
          <w:sz w:val="24"/>
          <w:szCs w:val="24"/>
        </w:rPr>
        <w:t xml:space="preserve">opened for signature 16 December </w:t>
      </w:r>
      <w:proofErr w:type="gramStart"/>
      <w:r w:rsidR="00173FAD">
        <w:rPr>
          <w:rFonts w:ascii="Cambria" w:eastAsiaTheme="majorEastAsia" w:hAnsi="Cambria" w:cstheme="majorBidi"/>
          <w:iCs/>
          <w:sz w:val="24"/>
          <w:szCs w:val="24"/>
        </w:rPr>
        <w:t>1966,  999</w:t>
      </w:r>
      <w:proofErr w:type="gramEnd"/>
      <w:r w:rsidR="00173FAD">
        <w:rPr>
          <w:rFonts w:ascii="Cambria" w:eastAsiaTheme="majorEastAsia" w:hAnsi="Cambria" w:cstheme="majorBidi"/>
          <w:iCs/>
          <w:sz w:val="24"/>
          <w:szCs w:val="24"/>
        </w:rPr>
        <w:t xml:space="preserve"> UNTS 171 </w:t>
      </w:r>
      <w:r w:rsidR="00B70C15">
        <w:rPr>
          <w:rFonts w:ascii="Cambria" w:eastAsiaTheme="majorEastAsia" w:hAnsi="Cambria" w:cstheme="majorBidi"/>
          <w:iCs/>
          <w:sz w:val="24"/>
          <w:szCs w:val="24"/>
        </w:rPr>
        <w:t>(entered into force 23 March 1976)</w:t>
      </w:r>
      <w:r w:rsidRPr="00C74A2C">
        <w:rPr>
          <w:rFonts w:ascii="Cambria" w:eastAsiaTheme="majorEastAsia" w:hAnsi="Cambria" w:cstheme="majorBidi"/>
          <w:sz w:val="24"/>
          <w:szCs w:val="24"/>
        </w:rPr>
        <w:t xml:space="preserve"> </w:t>
      </w:r>
    </w:p>
    <w:p w14:paraId="080DDE6E" w14:textId="77777777" w:rsidR="00EC2712" w:rsidRPr="009545D8" w:rsidRDefault="00EC2712" w:rsidP="00671A38">
      <w:pPr>
        <w:spacing w:before="360"/>
        <w:jc w:val="center"/>
        <w:outlineLvl w:val="0"/>
        <w:rPr>
          <w:rStyle w:val="FootnoteReference"/>
          <w:rFonts w:ascii="Cambria" w:hAnsi="Cambria"/>
          <w:i/>
          <w:color w:val="000000" w:themeColor="text1"/>
          <w:sz w:val="24"/>
          <w:szCs w:val="24"/>
        </w:rPr>
      </w:pPr>
      <w:r w:rsidRPr="00C74A2C">
        <w:rPr>
          <w:rFonts w:ascii="Cambria" w:hAnsi="Cambria"/>
          <w:color w:val="000000" w:themeColor="text1"/>
          <w:sz w:val="24"/>
          <w:szCs w:val="24"/>
        </w:rPr>
        <w:t>E</w:t>
      </w:r>
      <w:r w:rsidRPr="00C74A2C">
        <w:rPr>
          <w:rFonts w:ascii="Cambria" w:hAnsi="Cambria"/>
          <w:i/>
          <w:color w:val="000000" w:themeColor="text1"/>
          <w:sz w:val="24"/>
          <w:szCs w:val="24"/>
        </w:rPr>
        <w:t xml:space="preserve"> Other</w:t>
      </w:r>
    </w:p>
    <w:p w14:paraId="164E03A9" w14:textId="45145663" w:rsidR="004204E4" w:rsidRPr="00E33658" w:rsidRDefault="00EC2712" w:rsidP="004204E4">
      <w:pPr>
        <w:pStyle w:val="FootnoteText"/>
        <w:rPr>
          <w:rFonts w:ascii="Cambria" w:hAnsi="Cambria"/>
          <w:sz w:val="24"/>
          <w:szCs w:val="24"/>
        </w:rPr>
      </w:pPr>
      <w:proofErr w:type="spellStart"/>
      <w:r w:rsidRPr="00C74A2C">
        <w:rPr>
          <w:rFonts w:ascii="Cambria" w:eastAsiaTheme="majorEastAsia" w:hAnsi="Cambria" w:cstheme="majorBidi"/>
          <w:sz w:val="24"/>
          <w:szCs w:val="24"/>
        </w:rPr>
        <w:t>Freckelton</w:t>
      </w:r>
      <w:proofErr w:type="spellEnd"/>
      <w:r w:rsidRPr="00C74A2C">
        <w:rPr>
          <w:rFonts w:ascii="Cambria" w:eastAsiaTheme="majorEastAsia" w:hAnsi="Cambria" w:cstheme="majorBidi"/>
          <w:sz w:val="24"/>
          <w:szCs w:val="24"/>
        </w:rPr>
        <w:t>,</w:t>
      </w:r>
      <w:r>
        <w:rPr>
          <w:rFonts w:ascii="Cambria" w:eastAsiaTheme="majorEastAsia" w:hAnsi="Cambria" w:cstheme="majorBidi"/>
          <w:sz w:val="24"/>
          <w:szCs w:val="24"/>
        </w:rPr>
        <w:t xml:space="preserve"> Ian</w:t>
      </w:r>
      <w:r w:rsidRPr="00C74A2C">
        <w:rPr>
          <w:rFonts w:ascii="Cambria" w:eastAsiaTheme="majorEastAsia" w:hAnsi="Cambria" w:cstheme="majorBidi"/>
          <w:sz w:val="24"/>
          <w:szCs w:val="24"/>
        </w:rPr>
        <w:t xml:space="preserve"> ‘DNA Profiling: Forensic Science Under the Microscope’, (Paper presented at the DNA and Criminal Justice conference, Australian Institute of </w:t>
      </w:r>
      <w:r w:rsidRPr="00C74A2C">
        <w:rPr>
          <w:rFonts w:ascii="Cambria" w:eastAsiaTheme="majorEastAsia" w:hAnsi="Cambria" w:cstheme="majorBidi"/>
          <w:sz w:val="24"/>
          <w:szCs w:val="24"/>
        </w:rPr>
        <w:lastRenderedPageBreak/>
        <w:t>Criminology, (30-31 October 1989) &lt;http://www.aic.gov.au/publications/previous%20se</w:t>
      </w:r>
      <w:r>
        <w:rPr>
          <w:rFonts w:ascii="Cambria" w:eastAsiaTheme="majorEastAsia" w:hAnsi="Cambria" w:cstheme="majorBidi"/>
          <w:sz w:val="24"/>
          <w:szCs w:val="24"/>
        </w:rPr>
        <w:t>ries/proceedings/1-27/02.html&gt;</w:t>
      </w:r>
      <w:r w:rsidR="004204E4" w:rsidRPr="004204E4">
        <w:rPr>
          <w:rFonts w:ascii="Cambria" w:hAnsi="Cambria"/>
          <w:sz w:val="24"/>
          <w:szCs w:val="24"/>
        </w:rPr>
        <w:t xml:space="preserve"> </w:t>
      </w:r>
    </w:p>
    <w:p w14:paraId="1001A3F8" w14:textId="77777777" w:rsidR="004204E4" w:rsidRDefault="004204E4" w:rsidP="0047622D">
      <w:pPr>
        <w:pStyle w:val="FootnoteText"/>
        <w:rPr>
          <w:rFonts w:ascii="Cambria" w:eastAsiaTheme="majorEastAsia" w:hAnsi="Cambria" w:cstheme="majorBidi"/>
          <w:sz w:val="24"/>
          <w:szCs w:val="24"/>
        </w:rPr>
      </w:pPr>
    </w:p>
    <w:p w14:paraId="171AD73D" w14:textId="3842E018" w:rsidR="00EC2712" w:rsidRPr="0065170F" w:rsidRDefault="004204E4" w:rsidP="0047622D">
      <w:pPr>
        <w:pStyle w:val="FootnoteText"/>
        <w:rPr>
          <w:vertAlign w:val="superscript"/>
        </w:rPr>
      </w:pPr>
      <w:proofErr w:type="spellStart"/>
      <w:r w:rsidRPr="00C74A2C">
        <w:rPr>
          <w:rFonts w:ascii="Cambria" w:eastAsiaTheme="majorEastAsia" w:hAnsi="Cambria" w:cstheme="majorBidi"/>
          <w:sz w:val="24"/>
          <w:szCs w:val="24"/>
        </w:rPr>
        <w:t>Grimsley</w:t>
      </w:r>
      <w:proofErr w:type="spellEnd"/>
      <w:r>
        <w:rPr>
          <w:rFonts w:ascii="Cambria" w:eastAsiaTheme="majorEastAsia" w:hAnsi="Cambria" w:cstheme="majorBidi"/>
          <w:sz w:val="24"/>
          <w:szCs w:val="24"/>
        </w:rPr>
        <w:t xml:space="preserve">, </w:t>
      </w:r>
      <w:r w:rsidRPr="00C74A2C">
        <w:rPr>
          <w:rFonts w:ascii="Cambria" w:eastAsiaTheme="majorEastAsia" w:hAnsi="Cambria" w:cstheme="majorBidi"/>
          <w:sz w:val="24"/>
          <w:szCs w:val="24"/>
        </w:rPr>
        <w:t xml:space="preserve">Edwin, </w:t>
      </w:r>
      <w:r w:rsidRPr="00C74A2C">
        <w:rPr>
          <w:rFonts w:ascii="Cambria" w:eastAsiaTheme="majorEastAsia" w:hAnsi="Cambria" w:cstheme="majorBidi"/>
          <w:i/>
          <w:sz w:val="24"/>
          <w:szCs w:val="24"/>
        </w:rPr>
        <w:t>Lessons about Black Youth and Wrongful Convictions: Three Things You Should Know</w:t>
      </w:r>
      <w:r w:rsidRPr="00C74A2C">
        <w:rPr>
          <w:rFonts w:ascii="Cambria" w:eastAsiaTheme="majorEastAsia" w:hAnsi="Cambria" w:cstheme="majorBidi"/>
          <w:sz w:val="24"/>
          <w:szCs w:val="24"/>
        </w:rPr>
        <w:t xml:space="preserve"> (1 May 2015) </w:t>
      </w:r>
      <w:r w:rsidRPr="00C74A2C">
        <w:rPr>
          <w:rFonts w:ascii="Cambria" w:eastAsiaTheme="majorEastAsia" w:hAnsi="Cambria" w:cstheme="majorBidi"/>
          <w:iCs/>
          <w:sz w:val="24"/>
          <w:szCs w:val="24"/>
        </w:rPr>
        <w:t>Innocence Project</w:t>
      </w:r>
      <w:r w:rsidRPr="00C74A2C">
        <w:rPr>
          <w:rFonts w:ascii="Cambria" w:eastAsiaTheme="majorEastAsia" w:hAnsi="Cambria" w:cstheme="majorBidi"/>
          <w:sz w:val="24"/>
          <w:szCs w:val="24"/>
        </w:rPr>
        <w:t xml:space="preserve"> &lt;</w:t>
      </w:r>
      <w:r w:rsidRPr="00E4334D">
        <w:rPr>
          <w:rFonts w:ascii="Cambria" w:eastAsiaTheme="majorEastAsia" w:hAnsi="Cambria" w:cstheme="majorBidi"/>
          <w:sz w:val="24"/>
          <w:szCs w:val="24"/>
        </w:rPr>
        <w:t>https://www.innocenceproject.org/lessons-about-black-youth-and-wrongful-convictions-three-things-you-should-know/</w:t>
      </w:r>
      <w:r w:rsidRPr="00C74A2C">
        <w:rPr>
          <w:rFonts w:ascii="Cambria" w:eastAsiaTheme="majorEastAsia" w:hAnsi="Cambria" w:cstheme="majorBidi"/>
          <w:color w:val="000000"/>
          <w:sz w:val="24"/>
          <w:szCs w:val="24"/>
        </w:rPr>
        <w:t>&gt;</w:t>
      </w:r>
    </w:p>
    <w:p w14:paraId="7BBFF841" w14:textId="77777777" w:rsidR="00EC2712" w:rsidRDefault="00EC2712" w:rsidP="00EC2712">
      <w:pPr>
        <w:spacing w:after="0" w:line="240" w:lineRule="auto"/>
        <w:ind w:right="880"/>
        <w:rPr>
          <w:rFonts w:ascii="Cambria" w:eastAsiaTheme="majorEastAsia" w:hAnsi="Cambria" w:cstheme="majorBidi"/>
          <w:sz w:val="24"/>
          <w:szCs w:val="24"/>
        </w:rPr>
      </w:pPr>
    </w:p>
    <w:p w14:paraId="0EA3BF31" w14:textId="535C4DF0" w:rsidR="00EC2712" w:rsidRPr="00C74A2C" w:rsidRDefault="00EC2712" w:rsidP="00EC2712">
      <w:pPr>
        <w:spacing w:after="0" w:line="240" w:lineRule="auto"/>
        <w:ind w:right="880"/>
        <w:rPr>
          <w:rFonts w:ascii="Cambria" w:eastAsiaTheme="majorEastAsia" w:hAnsi="Cambria" w:cstheme="majorBidi"/>
          <w:sz w:val="24"/>
          <w:szCs w:val="24"/>
        </w:rPr>
      </w:pPr>
      <w:r w:rsidRPr="00C74A2C">
        <w:rPr>
          <w:rFonts w:ascii="Cambria" w:eastAsiaTheme="majorEastAsia" w:hAnsi="Cambria" w:cstheme="majorBidi"/>
          <w:sz w:val="24"/>
          <w:szCs w:val="24"/>
        </w:rPr>
        <w:t xml:space="preserve">Ireland, </w:t>
      </w:r>
      <w:r>
        <w:rPr>
          <w:rFonts w:ascii="Cambria" w:eastAsiaTheme="majorEastAsia" w:hAnsi="Cambria" w:cstheme="majorBidi"/>
          <w:sz w:val="24"/>
          <w:szCs w:val="24"/>
        </w:rPr>
        <w:t xml:space="preserve">Steve, </w:t>
      </w:r>
      <w:r w:rsidRPr="00C74A2C">
        <w:rPr>
          <w:rFonts w:ascii="Cambria" w:eastAsiaTheme="majorEastAsia" w:hAnsi="Cambria" w:cstheme="majorBidi"/>
          <w:sz w:val="24"/>
          <w:szCs w:val="24"/>
        </w:rPr>
        <w:t>‘What Authority Should Police Have to Detain Suspects to Take Samples?’ (Paper presented at the DNA and Criminal Justice conference, Australian Institute of Criminology, 30-31, (30-31 October 1989) &lt;http://www.aic.gov.au/publications/previous%20se</w:t>
      </w:r>
      <w:r>
        <w:rPr>
          <w:rFonts w:ascii="Cambria" w:eastAsiaTheme="majorEastAsia" w:hAnsi="Cambria" w:cstheme="majorBidi"/>
          <w:sz w:val="24"/>
          <w:szCs w:val="24"/>
        </w:rPr>
        <w:t>ries/proceedings/1-27/02.html&gt;</w:t>
      </w:r>
    </w:p>
    <w:p w14:paraId="3AEA6BBB" w14:textId="77777777" w:rsidR="00EC2712" w:rsidRDefault="00EC2712" w:rsidP="00EC2712">
      <w:pPr>
        <w:pStyle w:val="FootnoteText"/>
        <w:rPr>
          <w:rFonts w:ascii="Cambria" w:eastAsiaTheme="majorEastAsia" w:hAnsi="Cambria" w:cstheme="majorBidi"/>
          <w:sz w:val="24"/>
          <w:szCs w:val="24"/>
        </w:rPr>
      </w:pPr>
    </w:p>
    <w:p w14:paraId="4E33AFDD" w14:textId="77777777" w:rsidR="00EC2712" w:rsidRPr="0065170F" w:rsidRDefault="00EC2712" w:rsidP="00EC2712">
      <w:pPr>
        <w:pStyle w:val="FootnoteText"/>
        <w:rPr>
          <w:rFonts w:ascii="Cambria" w:eastAsiaTheme="majorEastAsia" w:hAnsi="Cambria" w:cstheme="majorBidi"/>
          <w:color w:val="000000" w:themeColor="text1"/>
          <w:sz w:val="24"/>
          <w:szCs w:val="24"/>
        </w:rPr>
      </w:pPr>
      <w:proofErr w:type="spellStart"/>
      <w:r w:rsidRPr="00C74A2C">
        <w:rPr>
          <w:rFonts w:ascii="Cambria" w:eastAsiaTheme="majorEastAsia" w:hAnsi="Cambria" w:cstheme="majorBidi"/>
          <w:sz w:val="24"/>
          <w:szCs w:val="24"/>
        </w:rPr>
        <w:t>Lavoipierre</w:t>
      </w:r>
      <w:proofErr w:type="spellEnd"/>
      <w:r w:rsidRPr="00C74A2C">
        <w:rPr>
          <w:rFonts w:ascii="Cambria" w:eastAsiaTheme="majorEastAsia" w:hAnsi="Cambria" w:cstheme="majorBidi"/>
          <w:sz w:val="24"/>
          <w:szCs w:val="24"/>
        </w:rPr>
        <w:t xml:space="preserve">, </w:t>
      </w:r>
      <w:r>
        <w:rPr>
          <w:rFonts w:ascii="Cambria" w:eastAsiaTheme="majorEastAsia" w:hAnsi="Cambria" w:cstheme="majorBidi"/>
          <w:sz w:val="24"/>
          <w:szCs w:val="24"/>
        </w:rPr>
        <w:t xml:space="preserve">Angela, </w:t>
      </w:r>
      <w:r w:rsidRPr="00C74A2C">
        <w:rPr>
          <w:rFonts w:ascii="Cambria" w:eastAsiaTheme="majorEastAsia" w:hAnsi="Cambria" w:cstheme="majorBidi"/>
          <w:sz w:val="24"/>
          <w:szCs w:val="24"/>
        </w:rPr>
        <w:t xml:space="preserve">‘NSW Police take DNA from Hundreds of Ex-Offenders to Build Crime-Solving Database’, </w:t>
      </w:r>
      <w:r w:rsidRPr="00C74A2C">
        <w:rPr>
          <w:rFonts w:ascii="Cambria" w:eastAsiaTheme="majorEastAsia" w:hAnsi="Cambria" w:cstheme="majorBidi"/>
          <w:i/>
          <w:iCs/>
          <w:sz w:val="24"/>
          <w:szCs w:val="24"/>
        </w:rPr>
        <w:t>ABC News</w:t>
      </w:r>
      <w:r w:rsidRPr="00C74A2C">
        <w:rPr>
          <w:rFonts w:ascii="Cambria" w:eastAsiaTheme="majorEastAsia" w:hAnsi="Cambria" w:cstheme="majorBidi"/>
          <w:sz w:val="24"/>
          <w:szCs w:val="24"/>
        </w:rPr>
        <w:t xml:space="preserve"> (online), 24 August 2015 </w:t>
      </w:r>
      <w:r w:rsidRPr="0065170F">
        <w:rPr>
          <w:rFonts w:ascii="Cambria" w:eastAsiaTheme="majorEastAsia" w:hAnsi="Cambria" w:cstheme="majorBidi"/>
          <w:color w:val="000000" w:themeColor="text1"/>
          <w:sz w:val="24"/>
          <w:szCs w:val="24"/>
        </w:rPr>
        <w:t>&lt;http://www.abc.net.au/news/2014 -09-29/</w:t>
      </w:r>
      <w:proofErr w:type="spellStart"/>
      <w:r w:rsidRPr="0065170F">
        <w:rPr>
          <w:rFonts w:ascii="Cambria" w:eastAsiaTheme="majorEastAsia" w:hAnsi="Cambria" w:cstheme="majorBidi"/>
          <w:color w:val="000000" w:themeColor="text1"/>
          <w:sz w:val="24"/>
          <w:szCs w:val="24"/>
        </w:rPr>
        <w:t>nsw</w:t>
      </w:r>
      <w:proofErr w:type="spellEnd"/>
      <w:r w:rsidRPr="0065170F">
        <w:rPr>
          <w:rFonts w:ascii="Cambria" w:eastAsiaTheme="majorEastAsia" w:hAnsi="Cambria" w:cstheme="majorBidi"/>
          <w:color w:val="000000" w:themeColor="text1"/>
          <w:sz w:val="24"/>
          <w:szCs w:val="24"/>
        </w:rPr>
        <w:t>-police-take-</w:t>
      </w:r>
      <w:proofErr w:type="spellStart"/>
      <w:r w:rsidRPr="0065170F">
        <w:rPr>
          <w:rFonts w:ascii="Cambria" w:eastAsiaTheme="majorEastAsia" w:hAnsi="Cambria" w:cstheme="majorBidi"/>
          <w:color w:val="000000" w:themeColor="text1"/>
          <w:sz w:val="24"/>
          <w:szCs w:val="24"/>
        </w:rPr>
        <w:t>dna</w:t>
      </w:r>
      <w:proofErr w:type="spellEnd"/>
      <w:r w:rsidRPr="0065170F">
        <w:rPr>
          <w:rFonts w:ascii="Cambria" w:eastAsiaTheme="majorEastAsia" w:hAnsi="Cambria" w:cstheme="majorBidi"/>
          <w:color w:val="000000" w:themeColor="text1"/>
          <w:sz w:val="24"/>
          <w:szCs w:val="24"/>
        </w:rPr>
        <w:t>-from -hundreds-of-ex- criminals/5775990&gt;</w:t>
      </w:r>
    </w:p>
    <w:p w14:paraId="2FEE7D57" w14:textId="77777777" w:rsidR="00EC2712" w:rsidRPr="00C74A2C" w:rsidRDefault="00EC2712" w:rsidP="00EC2712">
      <w:pPr>
        <w:pStyle w:val="FootnoteText"/>
        <w:rPr>
          <w:rFonts w:ascii="Cambria" w:hAnsi="Cambria"/>
          <w:sz w:val="24"/>
          <w:szCs w:val="24"/>
        </w:rPr>
      </w:pPr>
    </w:p>
    <w:p w14:paraId="6B4B3417" w14:textId="77777777" w:rsidR="00EC2712" w:rsidRPr="00C74A2C" w:rsidRDefault="00EC2712" w:rsidP="00EC2712">
      <w:pPr>
        <w:pStyle w:val="FootnoteText"/>
        <w:rPr>
          <w:rFonts w:ascii="Cambria" w:hAnsi="Cambria"/>
          <w:sz w:val="24"/>
          <w:szCs w:val="24"/>
        </w:rPr>
      </w:pPr>
      <w:r w:rsidRPr="00C74A2C">
        <w:rPr>
          <w:rFonts w:ascii="Cambria" w:eastAsiaTheme="majorEastAsia" w:hAnsi="Cambria" w:cstheme="majorBidi"/>
          <w:sz w:val="24"/>
          <w:szCs w:val="24"/>
        </w:rPr>
        <w:t xml:space="preserve">Nuffield Council on Bioethics, </w:t>
      </w:r>
      <w:r w:rsidRPr="00C74A2C">
        <w:rPr>
          <w:rFonts w:ascii="Cambria" w:eastAsiaTheme="majorEastAsia" w:hAnsi="Cambria" w:cstheme="majorBidi"/>
          <w:i/>
          <w:iCs/>
          <w:sz w:val="24"/>
          <w:szCs w:val="24"/>
        </w:rPr>
        <w:t xml:space="preserve">The Forensic Use of </w:t>
      </w:r>
      <w:proofErr w:type="spellStart"/>
      <w:r w:rsidRPr="00C74A2C">
        <w:rPr>
          <w:rFonts w:ascii="Cambria" w:eastAsiaTheme="majorEastAsia" w:hAnsi="Cambria" w:cstheme="majorBidi"/>
          <w:i/>
          <w:iCs/>
          <w:sz w:val="24"/>
          <w:szCs w:val="24"/>
        </w:rPr>
        <w:t>Bioinformation</w:t>
      </w:r>
      <w:proofErr w:type="spellEnd"/>
      <w:r w:rsidRPr="00C74A2C">
        <w:rPr>
          <w:rFonts w:ascii="Cambria" w:eastAsiaTheme="majorEastAsia" w:hAnsi="Cambria" w:cstheme="majorBidi"/>
          <w:i/>
          <w:iCs/>
          <w:sz w:val="24"/>
          <w:szCs w:val="24"/>
        </w:rPr>
        <w:t>: Ethical Issues</w:t>
      </w:r>
      <w:r w:rsidRPr="00C74A2C">
        <w:rPr>
          <w:rFonts w:ascii="Cambria" w:eastAsiaTheme="majorEastAsia" w:hAnsi="Cambria" w:cstheme="majorBidi"/>
          <w:sz w:val="24"/>
          <w:szCs w:val="24"/>
        </w:rPr>
        <w:t xml:space="preserve"> (September 2007)</w:t>
      </w:r>
    </w:p>
    <w:p w14:paraId="3F1A4D1E" w14:textId="77777777" w:rsidR="00EC2712" w:rsidRDefault="00EC2712" w:rsidP="00EC2712">
      <w:pPr>
        <w:pStyle w:val="FootnoteText"/>
        <w:rPr>
          <w:rFonts w:ascii="Cambria" w:hAnsi="Cambria"/>
          <w:sz w:val="24"/>
          <w:szCs w:val="24"/>
        </w:rPr>
      </w:pPr>
    </w:p>
    <w:p w14:paraId="5F443E5A" w14:textId="4F514097" w:rsidR="00173FAD" w:rsidRPr="00173FAD" w:rsidRDefault="00173FAD" w:rsidP="0047622D">
      <w:pPr>
        <w:pStyle w:val="FootnoteText"/>
        <w:rPr>
          <w:rFonts w:ascii="Cambria" w:eastAsiaTheme="majorEastAsia" w:hAnsi="Cambria" w:cstheme="majorBidi"/>
          <w:sz w:val="24"/>
          <w:szCs w:val="24"/>
        </w:rPr>
      </w:pPr>
      <w:r w:rsidRPr="00C74A2C">
        <w:rPr>
          <w:rFonts w:ascii="Cambria" w:eastAsiaTheme="majorEastAsia" w:hAnsi="Cambria" w:cstheme="majorBidi"/>
          <w:sz w:val="24"/>
          <w:szCs w:val="24"/>
        </w:rPr>
        <w:t xml:space="preserve">United Nations General Assembly, </w:t>
      </w:r>
      <w:r w:rsidRPr="00C74A2C">
        <w:rPr>
          <w:rFonts w:ascii="Cambria" w:eastAsiaTheme="majorEastAsia" w:hAnsi="Cambria" w:cstheme="majorBidi"/>
          <w:i/>
          <w:iCs/>
          <w:sz w:val="24"/>
          <w:szCs w:val="24"/>
        </w:rPr>
        <w:t>United Nations Standard Minimum Rules for the Administration of Juvenile Justice</w:t>
      </w:r>
      <w:r w:rsidRPr="00C74A2C">
        <w:rPr>
          <w:rFonts w:ascii="Cambria" w:eastAsiaTheme="majorEastAsia" w:hAnsi="Cambria" w:cstheme="majorBidi"/>
          <w:sz w:val="24"/>
          <w:szCs w:val="24"/>
        </w:rPr>
        <w:t xml:space="preserve"> </w:t>
      </w:r>
      <w:r w:rsidRPr="00C74A2C">
        <w:rPr>
          <w:rFonts w:ascii="Cambria" w:eastAsiaTheme="majorEastAsia" w:hAnsi="Cambria" w:cstheme="majorBidi"/>
          <w:i/>
          <w:iCs/>
          <w:sz w:val="24"/>
          <w:szCs w:val="24"/>
        </w:rPr>
        <w:t>(“The Beijing Rules”),</w:t>
      </w:r>
      <w:r w:rsidRPr="00C74A2C">
        <w:rPr>
          <w:rFonts w:ascii="Cambria" w:eastAsiaTheme="majorEastAsia" w:hAnsi="Cambria" w:cstheme="majorBidi"/>
          <w:iCs/>
          <w:sz w:val="24"/>
          <w:szCs w:val="24"/>
        </w:rPr>
        <w:t xml:space="preserve"> GA Res 40/33, UN GAOR,</w:t>
      </w:r>
      <w:r w:rsidRPr="00C74A2C">
        <w:rPr>
          <w:rFonts w:ascii="Cambria" w:eastAsiaTheme="majorEastAsia" w:hAnsi="Cambria" w:cstheme="majorBidi"/>
          <w:i/>
          <w:iCs/>
          <w:sz w:val="24"/>
          <w:szCs w:val="24"/>
        </w:rPr>
        <w:t xml:space="preserve"> </w:t>
      </w:r>
      <w:r w:rsidRPr="00C74A2C">
        <w:rPr>
          <w:rFonts w:ascii="Cambria" w:eastAsiaTheme="majorEastAsia" w:hAnsi="Cambria" w:cstheme="majorBidi"/>
          <w:iCs/>
          <w:sz w:val="24"/>
          <w:szCs w:val="24"/>
        </w:rPr>
        <w:t>40</w:t>
      </w:r>
      <w:r w:rsidRPr="00C74A2C">
        <w:rPr>
          <w:rFonts w:ascii="Cambria" w:eastAsiaTheme="majorEastAsia" w:hAnsi="Cambria" w:cstheme="majorBidi"/>
          <w:iCs/>
          <w:sz w:val="24"/>
          <w:szCs w:val="24"/>
          <w:vertAlign w:val="superscript"/>
        </w:rPr>
        <w:t>th</w:t>
      </w:r>
      <w:r w:rsidRPr="00C74A2C">
        <w:rPr>
          <w:rFonts w:ascii="Cambria" w:eastAsiaTheme="majorEastAsia" w:hAnsi="Cambria" w:cstheme="majorBidi"/>
          <w:iCs/>
          <w:sz w:val="24"/>
          <w:szCs w:val="24"/>
        </w:rPr>
        <w:t xml:space="preserve"> </w:t>
      </w:r>
      <w:proofErr w:type="spellStart"/>
      <w:r w:rsidRPr="00C74A2C">
        <w:rPr>
          <w:rFonts w:ascii="Cambria" w:eastAsiaTheme="majorEastAsia" w:hAnsi="Cambria" w:cstheme="majorBidi"/>
          <w:iCs/>
          <w:sz w:val="24"/>
          <w:szCs w:val="24"/>
        </w:rPr>
        <w:t>sess</w:t>
      </w:r>
      <w:proofErr w:type="spellEnd"/>
      <w:r w:rsidRPr="00C74A2C">
        <w:rPr>
          <w:rFonts w:ascii="Cambria" w:eastAsiaTheme="majorEastAsia" w:hAnsi="Cambria" w:cstheme="majorBidi"/>
          <w:iCs/>
          <w:sz w:val="24"/>
          <w:szCs w:val="24"/>
        </w:rPr>
        <w:t>, 96</w:t>
      </w:r>
      <w:r w:rsidRPr="00C74A2C">
        <w:rPr>
          <w:rFonts w:ascii="Cambria" w:eastAsiaTheme="majorEastAsia" w:hAnsi="Cambria" w:cstheme="majorBidi"/>
          <w:iCs/>
          <w:sz w:val="24"/>
          <w:szCs w:val="24"/>
          <w:vertAlign w:val="superscript"/>
        </w:rPr>
        <w:t>th</w:t>
      </w:r>
      <w:r w:rsidRPr="00C74A2C">
        <w:rPr>
          <w:rFonts w:ascii="Cambria" w:eastAsiaTheme="majorEastAsia" w:hAnsi="Cambria" w:cstheme="majorBidi"/>
          <w:iCs/>
          <w:sz w:val="24"/>
          <w:szCs w:val="24"/>
        </w:rPr>
        <w:t xml:space="preserve"> </w:t>
      </w:r>
      <w:proofErr w:type="spellStart"/>
      <w:r w:rsidRPr="00C74A2C">
        <w:rPr>
          <w:rFonts w:ascii="Cambria" w:eastAsiaTheme="majorEastAsia" w:hAnsi="Cambria" w:cstheme="majorBidi"/>
          <w:iCs/>
          <w:sz w:val="24"/>
          <w:szCs w:val="24"/>
        </w:rPr>
        <w:t>plen</w:t>
      </w:r>
      <w:proofErr w:type="spellEnd"/>
      <w:r w:rsidRPr="00C74A2C">
        <w:rPr>
          <w:rFonts w:ascii="Cambria" w:eastAsiaTheme="majorEastAsia" w:hAnsi="Cambria" w:cstheme="majorBidi"/>
          <w:iCs/>
          <w:sz w:val="24"/>
          <w:szCs w:val="24"/>
        </w:rPr>
        <w:t xml:space="preserve"> </w:t>
      </w:r>
      <w:proofErr w:type="spellStart"/>
      <w:r w:rsidRPr="00C74A2C">
        <w:rPr>
          <w:rFonts w:ascii="Cambria" w:eastAsiaTheme="majorEastAsia" w:hAnsi="Cambria" w:cstheme="majorBidi"/>
          <w:iCs/>
          <w:sz w:val="24"/>
          <w:szCs w:val="24"/>
        </w:rPr>
        <w:t>mtg</w:t>
      </w:r>
      <w:proofErr w:type="spellEnd"/>
      <w:r w:rsidRPr="00C74A2C">
        <w:rPr>
          <w:rFonts w:ascii="Cambria" w:eastAsiaTheme="majorEastAsia" w:hAnsi="Cambria" w:cstheme="majorBidi"/>
          <w:iCs/>
          <w:sz w:val="24"/>
          <w:szCs w:val="24"/>
        </w:rPr>
        <w:t>, UN Doc A/RES/40/33 (adopted 29 November 1985)</w:t>
      </w:r>
    </w:p>
    <w:p w14:paraId="6C75D7CC" w14:textId="77777777" w:rsidR="00EC2712" w:rsidRPr="00C74A2C" w:rsidRDefault="00EC2712" w:rsidP="00EC2712">
      <w:pPr>
        <w:pStyle w:val="FootnoteText"/>
        <w:rPr>
          <w:rFonts w:ascii="Cambria" w:hAnsi="Cambria"/>
          <w:sz w:val="24"/>
          <w:szCs w:val="24"/>
        </w:rPr>
      </w:pPr>
    </w:p>
    <w:p w14:paraId="7FE494BB" w14:textId="7B27BE36" w:rsidR="00EC2712" w:rsidRDefault="00EC2712" w:rsidP="00671A38">
      <w:pPr>
        <w:pStyle w:val="FootnoteText"/>
        <w:outlineLvl w:val="0"/>
        <w:rPr>
          <w:rFonts w:ascii="Cambria" w:eastAsiaTheme="majorEastAsia" w:hAnsi="Cambria" w:cstheme="majorBidi"/>
          <w:sz w:val="24"/>
          <w:szCs w:val="24"/>
        </w:rPr>
      </w:pPr>
      <w:proofErr w:type="spellStart"/>
      <w:r w:rsidRPr="00C74A2C">
        <w:rPr>
          <w:rFonts w:ascii="Cambria" w:eastAsiaTheme="majorEastAsia" w:hAnsi="Cambria" w:cstheme="majorBidi"/>
          <w:sz w:val="24"/>
          <w:szCs w:val="24"/>
        </w:rPr>
        <w:t>Vogler</w:t>
      </w:r>
      <w:proofErr w:type="spellEnd"/>
      <w:r w:rsidRPr="00C74A2C">
        <w:rPr>
          <w:rFonts w:ascii="Cambria" w:eastAsiaTheme="majorEastAsia" w:hAnsi="Cambria" w:cstheme="majorBidi"/>
          <w:sz w:val="24"/>
          <w:szCs w:val="24"/>
        </w:rPr>
        <w:t xml:space="preserve">, </w:t>
      </w:r>
      <w:r>
        <w:rPr>
          <w:rFonts w:ascii="Cambria" w:eastAsiaTheme="majorEastAsia" w:hAnsi="Cambria" w:cstheme="majorBidi"/>
          <w:sz w:val="24"/>
          <w:szCs w:val="24"/>
        </w:rPr>
        <w:t xml:space="preserve">Sarah, </w:t>
      </w:r>
      <w:r w:rsidRPr="00C74A2C">
        <w:rPr>
          <w:rFonts w:ascii="Cambria" w:eastAsiaTheme="majorEastAsia" w:hAnsi="Cambria" w:cstheme="majorBidi"/>
          <w:sz w:val="24"/>
          <w:szCs w:val="24"/>
        </w:rPr>
        <w:t xml:space="preserve">‘DNA Tag for Kid Crims’, </w:t>
      </w:r>
      <w:r w:rsidRPr="00C74A2C">
        <w:rPr>
          <w:rFonts w:ascii="Cambria" w:eastAsiaTheme="majorEastAsia" w:hAnsi="Cambria" w:cstheme="majorBidi"/>
          <w:i/>
          <w:iCs/>
          <w:sz w:val="24"/>
          <w:szCs w:val="24"/>
        </w:rPr>
        <w:t>The Sunday Mail</w:t>
      </w:r>
      <w:r w:rsidRPr="00C74A2C">
        <w:rPr>
          <w:rFonts w:ascii="Cambria" w:eastAsiaTheme="majorEastAsia" w:hAnsi="Cambria" w:cstheme="majorBidi"/>
          <w:sz w:val="24"/>
          <w:szCs w:val="24"/>
        </w:rPr>
        <w:t xml:space="preserve"> (</w:t>
      </w:r>
      <w:r w:rsidR="00B70C15">
        <w:rPr>
          <w:rFonts w:ascii="Cambria" w:eastAsiaTheme="majorEastAsia" w:hAnsi="Cambria" w:cstheme="majorBidi"/>
          <w:sz w:val="24"/>
          <w:szCs w:val="24"/>
        </w:rPr>
        <w:t>Queensland</w:t>
      </w:r>
      <w:r w:rsidRPr="00C74A2C">
        <w:rPr>
          <w:rFonts w:ascii="Cambria" w:eastAsiaTheme="majorEastAsia" w:hAnsi="Cambria" w:cstheme="majorBidi"/>
          <w:sz w:val="24"/>
          <w:szCs w:val="24"/>
        </w:rPr>
        <w:t>)</w:t>
      </w:r>
      <w:r w:rsidRPr="00C74A2C">
        <w:rPr>
          <w:rFonts w:ascii="Cambria" w:eastAsiaTheme="majorEastAsia" w:hAnsi="Cambria" w:cstheme="majorBidi"/>
          <w:i/>
          <w:iCs/>
          <w:sz w:val="24"/>
          <w:szCs w:val="24"/>
        </w:rPr>
        <w:t>,</w:t>
      </w:r>
      <w:r>
        <w:rPr>
          <w:rFonts w:ascii="Cambria" w:eastAsiaTheme="majorEastAsia" w:hAnsi="Cambria" w:cstheme="majorBidi"/>
          <w:sz w:val="24"/>
          <w:szCs w:val="24"/>
        </w:rPr>
        <w:t xml:space="preserve"> 10 January 2010</w:t>
      </w:r>
    </w:p>
    <w:p w14:paraId="2C6B1894" w14:textId="77777777" w:rsidR="00173FAD" w:rsidRPr="00CF38A0" w:rsidRDefault="00173FAD" w:rsidP="00173FAD">
      <w:pPr>
        <w:pStyle w:val="FootnoteText"/>
        <w:rPr>
          <w:rFonts w:ascii="Cambria" w:eastAsiaTheme="majorEastAsia" w:hAnsi="Cambria" w:cstheme="majorBidi"/>
          <w:sz w:val="24"/>
          <w:szCs w:val="24"/>
        </w:rPr>
      </w:pPr>
    </w:p>
    <w:p w14:paraId="4BB651C0" w14:textId="63FDE136" w:rsidR="00173FAD" w:rsidRPr="00CF38A0" w:rsidRDefault="00173FAD" w:rsidP="00173FAD">
      <w:pPr>
        <w:pStyle w:val="FootnoteText"/>
        <w:rPr>
          <w:rFonts w:ascii="Cambria" w:eastAsiaTheme="majorEastAsia" w:hAnsi="Cambria" w:cstheme="majorBidi"/>
          <w:sz w:val="24"/>
          <w:szCs w:val="24"/>
        </w:rPr>
      </w:pPr>
      <w:r w:rsidRPr="00CF38A0">
        <w:rPr>
          <w:rFonts w:ascii="Cambria" w:eastAsiaTheme="majorEastAsia" w:hAnsi="Cambria" w:cstheme="majorBidi"/>
          <w:sz w:val="24"/>
          <w:szCs w:val="24"/>
        </w:rPr>
        <w:t xml:space="preserve">Wallace, Helen, ‘Prejudice, Stigma and DNA Databases’ (2008) </w:t>
      </w:r>
      <w:r w:rsidR="00B70C15" w:rsidRPr="00CF38A0">
        <w:rPr>
          <w:rFonts w:ascii="Cambria" w:eastAsiaTheme="majorEastAsia" w:hAnsi="Cambria" w:cstheme="majorBidi"/>
          <w:sz w:val="24"/>
          <w:szCs w:val="24"/>
        </w:rPr>
        <w:t xml:space="preserve">28 </w:t>
      </w:r>
      <w:proofErr w:type="spellStart"/>
      <w:r w:rsidRPr="00CF38A0">
        <w:rPr>
          <w:rFonts w:ascii="Cambria" w:eastAsiaTheme="majorEastAsia" w:hAnsi="Cambria" w:cstheme="majorBidi"/>
          <w:i/>
          <w:iCs/>
          <w:sz w:val="24"/>
          <w:szCs w:val="24"/>
        </w:rPr>
        <w:t>GeneWatch</w:t>
      </w:r>
      <w:proofErr w:type="spellEnd"/>
      <w:r w:rsidRPr="00CF38A0">
        <w:rPr>
          <w:rFonts w:ascii="Cambria" w:eastAsiaTheme="majorEastAsia" w:hAnsi="Cambria" w:cstheme="majorBidi"/>
          <w:sz w:val="24"/>
          <w:szCs w:val="24"/>
        </w:rPr>
        <w:t xml:space="preserve"> </w:t>
      </w:r>
      <w:r w:rsidR="00B70C15" w:rsidRPr="00CF38A0">
        <w:rPr>
          <w:rFonts w:ascii="Cambria" w:eastAsiaTheme="majorEastAsia" w:hAnsi="Cambria" w:cstheme="majorBidi"/>
          <w:sz w:val="24"/>
          <w:szCs w:val="24"/>
        </w:rPr>
        <w:t>&lt;</w:t>
      </w:r>
      <w:r w:rsidRPr="00CF38A0">
        <w:rPr>
          <w:rFonts w:ascii="Cambria" w:hAnsi="Cambria"/>
          <w:sz w:val="24"/>
          <w:szCs w:val="24"/>
        </w:rPr>
        <w:t>http://www.councilforresponsiblegenetics.org/genewatch/GeneWatchPage.aspx?pageId=60&amp;arc hive=yes</w:t>
      </w:r>
      <w:r w:rsidR="00B70C15" w:rsidRPr="00CF38A0">
        <w:rPr>
          <w:rFonts w:ascii="Cambria" w:eastAsiaTheme="majorEastAsia" w:hAnsi="Cambria" w:cstheme="majorBidi"/>
          <w:sz w:val="24"/>
          <w:szCs w:val="24"/>
        </w:rPr>
        <w:t>&gt;</w:t>
      </w:r>
    </w:p>
    <w:p w14:paraId="7A3B303B" w14:textId="77777777" w:rsidR="00173FAD" w:rsidRPr="00C74A2C" w:rsidRDefault="00173FAD" w:rsidP="00EC2712">
      <w:pPr>
        <w:pStyle w:val="FootnoteText"/>
        <w:rPr>
          <w:rFonts w:ascii="Cambria" w:eastAsiaTheme="majorEastAsia" w:hAnsi="Cambria" w:cstheme="majorBidi"/>
          <w:sz w:val="24"/>
          <w:szCs w:val="24"/>
        </w:rPr>
      </w:pPr>
    </w:p>
    <w:p w14:paraId="7F2AD23A" w14:textId="77777777" w:rsidR="00EC2712" w:rsidRDefault="00EC2712" w:rsidP="00EC2712"/>
    <w:p w14:paraId="7EE27A76" w14:textId="77777777" w:rsidR="00DD3BE6" w:rsidRPr="00E946A0" w:rsidRDefault="00DD3BE6" w:rsidP="002D366D">
      <w:pPr>
        <w:pStyle w:val="FootnoteText"/>
        <w:tabs>
          <w:tab w:val="left" w:pos="200"/>
        </w:tabs>
        <w:jc w:val="both"/>
        <w:rPr>
          <w:rFonts w:asciiTheme="majorHAnsi" w:hAnsiTheme="majorHAnsi"/>
          <w:sz w:val="24"/>
          <w:szCs w:val="24"/>
        </w:rPr>
      </w:pPr>
    </w:p>
    <w:sectPr w:rsidR="00DD3BE6" w:rsidRPr="00E946A0" w:rsidSect="00930586">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4A40" w14:textId="77777777" w:rsidR="00E34330" w:rsidRDefault="00E34330" w:rsidP="00A1665B">
      <w:pPr>
        <w:spacing w:after="0" w:line="240" w:lineRule="auto"/>
      </w:pPr>
      <w:r>
        <w:separator/>
      </w:r>
    </w:p>
  </w:endnote>
  <w:endnote w:type="continuationSeparator" w:id="0">
    <w:p w14:paraId="3A05429F" w14:textId="77777777" w:rsidR="00E34330" w:rsidRDefault="00E34330" w:rsidP="00A1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21767"/>
      <w:docPartObj>
        <w:docPartGallery w:val="Page Numbers (Bottom of Page)"/>
        <w:docPartUnique/>
      </w:docPartObj>
    </w:sdtPr>
    <w:sdtEndPr>
      <w:rPr>
        <w:noProof/>
      </w:rPr>
    </w:sdtEndPr>
    <w:sdtContent>
      <w:p w14:paraId="7846744F" w14:textId="13F685CD" w:rsidR="00823EBF" w:rsidRDefault="00823EBF" w:rsidP="00E7083A">
        <w:pPr>
          <w:pStyle w:val="Footer"/>
          <w:jc w:val="center"/>
        </w:pPr>
        <w:r w:rsidRPr="00974654">
          <w:rPr>
            <w:rFonts w:asciiTheme="majorHAnsi" w:hAnsiTheme="majorHAnsi"/>
          </w:rPr>
          <w:fldChar w:fldCharType="begin"/>
        </w:r>
        <w:r w:rsidRPr="00974654">
          <w:rPr>
            <w:rFonts w:asciiTheme="majorHAnsi" w:hAnsiTheme="majorHAnsi"/>
          </w:rPr>
          <w:instrText xml:space="preserve"> PAGE   \* MERGEFORMAT </w:instrText>
        </w:r>
        <w:r w:rsidRPr="00974654">
          <w:rPr>
            <w:rFonts w:asciiTheme="majorHAnsi" w:hAnsiTheme="majorHAnsi"/>
          </w:rPr>
          <w:fldChar w:fldCharType="separate"/>
        </w:r>
        <w:r w:rsidR="00665500" w:rsidRPr="00665500">
          <w:rPr>
            <w:noProof/>
          </w:rPr>
          <w:t>20</w:t>
        </w:r>
        <w:r w:rsidRPr="00974654">
          <w:rPr>
            <w:rFonts w:asciiTheme="majorHAnsi" w:hAnsiTheme="majorHAnsi"/>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214325"/>
      <w:docPartObj>
        <w:docPartGallery w:val="Page Numbers (Bottom of Page)"/>
        <w:docPartUnique/>
      </w:docPartObj>
    </w:sdtPr>
    <w:sdtEndPr>
      <w:rPr>
        <w:noProof/>
      </w:rPr>
    </w:sdtEndPr>
    <w:sdtContent>
      <w:p w14:paraId="20A69069" w14:textId="7B71D752" w:rsidR="00823EBF" w:rsidRPr="00A10C7A" w:rsidRDefault="00823EBF" w:rsidP="00C7705D">
        <w:pPr>
          <w:pStyle w:val="Footer"/>
          <w:jc w:val="center"/>
        </w:pPr>
        <w:r w:rsidRPr="00A10C7A">
          <w:rPr>
            <w:rFonts w:asciiTheme="majorHAnsi" w:hAnsiTheme="majorHAnsi"/>
          </w:rPr>
          <w:fldChar w:fldCharType="begin"/>
        </w:r>
        <w:r w:rsidRPr="00A10C7A">
          <w:rPr>
            <w:rFonts w:asciiTheme="majorHAnsi" w:hAnsiTheme="majorHAnsi"/>
          </w:rPr>
          <w:instrText xml:space="preserve"> PAGE   \* MERGEFORMAT </w:instrText>
        </w:r>
        <w:r w:rsidRPr="00A10C7A">
          <w:rPr>
            <w:rFonts w:asciiTheme="majorHAnsi" w:hAnsiTheme="majorHAnsi"/>
          </w:rPr>
          <w:fldChar w:fldCharType="separate"/>
        </w:r>
        <w:r w:rsidR="00665500" w:rsidRPr="00665500">
          <w:rPr>
            <w:noProof/>
          </w:rPr>
          <w:t>21</w:t>
        </w:r>
        <w:r w:rsidRPr="00A10C7A">
          <w:rPr>
            <w:rFonts w:asciiTheme="majorHAnsi" w:hAnsiTheme="majorHAnsi"/>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245521"/>
      <w:docPartObj>
        <w:docPartGallery w:val="Page Numbers (Bottom of Page)"/>
        <w:docPartUnique/>
      </w:docPartObj>
    </w:sdtPr>
    <w:sdtEndPr>
      <w:rPr>
        <w:rFonts w:asciiTheme="majorHAnsi" w:hAnsiTheme="majorHAnsi"/>
        <w:noProof/>
      </w:rPr>
    </w:sdtEndPr>
    <w:sdtContent>
      <w:p w14:paraId="3A6E4CE3" w14:textId="7FCD3A31" w:rsidR="00823EBF" w:rsidRPr="00CC3BFC" w:rsidRDefault="00823EBF" w:rsidP="00C7705D">
        <w:pPr>
          <w:pStyle w:val="Footer"/>
          <w:jc w:val="center"/>
          <w:rPr>
            <w:rFonts w:asciiTheme="majorHAnsi" w:hAnsiTheme="majorHAnsi"/>
          </w:rPr>
        </w:pPr>
        <w:r w:rsidRPr="00D85055">
          <w:rPr>
            <w:rFonts w:asciiTheme="majorHAnsi" w:hAnsiTheme="majorHAnsi"/>
          </w:rPr>
          <w:fldChar w:fldCharType="begin"/>
        </w:r>
        <w:r w:rsidRPr="00D85055">
          <w:rPr>
            <w:rFonts w:asciiTheme="majorHAnsi" w:hAnsiTheme="majorHAnsi"/>
          </w:rPr>
          <w:instrText xml:space="preserve"> PAGE   \* MERGEFORMAT </w:instrText>
        </w:r>
        <w:r w:rsidRPr="00D85055">
          <w:rPr>
            <w:rFonts w:asciiTheme="majorHAnsi" w:hAnsiTheme="majorHAnsi"/>
          </w:rPr>
          <w:fldChar w:fldCharType="separate"/>
        </w:r>
        <w:r w:rsidR="00665500" w:rsidRPr="00665500">
          <w:rPr>
            <w:noProof/>
          </w:rPr>
          <w:t>1</w:t>
        </w:r>
        <w:r w:rsidRPr="00D85055">
          <w:rPr>
            <w:rFonts w:asciiTheme="majorHAnsi" w:hAnsiTheme="majorHAnsi"/>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161A1" w14:textId="77777777" w:rsidR="00E34330" w:rsidRDefault="00E34330" w:rsidP="00A1665B">
      <w:pPr>
        <w:spacing w:after="0" w:line="240" w:lineRule="auto"/>
      </w:pPr>
      <w:r>
        <w:separator/>
      </w:r>
    </w:p>
  </w:footnote>
  <w:footnote w:type="continuationSeparator" w:id="0">
    <w:p w14:paraId="5E2F93FB" w14:textId="77777777" w:rsidR="00E34330" w:rsidRDefault="00E34330" w:rsidP="00A1665B">
      <w:pPr>
        <w:spacing w:after="0" w:line="240" w:lineRule="auto"/>
      </w:pPr>
      <w:r>
        <w:continuationSeparator/>
      </w:r>
    </w:p>
  </w:footnote>
  <w:footnote w:id="1">
    <w:p w14:paraId="5A84B7B1" w14:textId="37058173" w:rsidR="00671A38" w:rsidRPr="0067406A" w:rsidRDefault="00671A38" w:rsidP="00671A38">
      <w:pPr>
        <w:pStyle w:val="FootnoteText"/>
        <w:jc w:val="both"/>
        <w:rPr>
          <w:rFonts w:ascii="Cambria" w:eastAsiaTheme="majorEastAsia" w:hAnsi="Cambria" w:cstheme="majorBidi"/>
        </w:rPr>
      </w:pPr>
      <w:r w:rsidRPr="0067406A">
        <w:rPr>
          <w:rStyle w:val="FootnoteReference"/>
          <w:rFonts w:ascii="Cambria" w:hAnsi="Cambria"/>
        </w:rPr>
        <w:sym w:font="Symbol" w:char="F02A"/>
      </w:r>
      <w:r w:rsidRPr="0067406A">
        <w:rPr>
          <w:rFonts w:ascii="Cambria" w:eastAsiaTheme="majorEastAsia" w:hAnsi="Cambria" w:cstheme="majorBidi"/>
        </w:rPr>
        <w:t xml:space="preserve"> </w:t>
      </w:r>
      <w:r w:rsidR="00F47248" w:rsidRPr="00F47248">
        <w:rPr>
          <w:rFonts w:ascii="Cambria" w:eastAsiaTheme="majorEastAsia" w:hAnsi="Cambria" w:cstheme="majorBidi"/>
        </w:rPr>
        <w:t xml:space="preserve">With a somewhat eclectic approach, </w:t>
      </w:r>
      <w:proofErr w:type="spellStart"/>
      <w:r w:rsidR="00F47248" w:rsidRPr="00F47248">
        <w:rPr>
          <w:rFonts w:ascii="Cambria" w:eastAsiaTheme="majorEastAsia" w:hAnsi="Cambria" w:cstheme="majorBidi"/>
        </w:rPr>
        <w:t>Bethney</w:t>
      </w:r>
      <w:proofErr w:type="spellEnd"/>
      <w:r w:rsidR="00F47248" w:rsidRPr="00F47248">
        <w:rPr>
          <w:rFonts w:ascii="Cambria" w:eastAsiaTheme="majorEastAsia" w:hAnsi="Cambria" w:cstheme="majorBidi"/>
        </w:rPr>
        <w:t xml:space="preserve"> Baker is a PhD Candidate and Sessional Academic with the School of Justice, Faculty of Law, at the Queensland University of Technology. Her thesis explores attitudes of the Australian public towards asylum seekers in detention and she has tutored criminology units for seven years.</w:t>
      </w:r>
    </w:p>
  </w:footnote>
  <w:footnote w:id="2">
    <w:p w14:paraId="4E9AEA1A" w14:textId="7047BF20" w:rsidR="00823EBF" w:rsidRPr="0067406A" w:rsidRDefault="00823EBF" w:rsidP="003F36F1">
      <w:pPr>
        <w:pStyle w:val="FootnoteText"/>
        <w:jc w:val="both"/>
        <w:rPr>
          <w:rFonts w:ascii="Cambria" w:eastAsiaTheme="majorEastAsia" w:hAnsi="Cambria" w:cstheme="majorBidi"/>
        </w:rPr>
      </w:pPr>
      <w:r w:rsidRPr="0067406A">
        <w:rPr>
          <w:rStyle w:val="FootnoteReference"/>
          <w:rFonts w:ascii="Cambria" w:hAnsi="Cambria"/>
        </w:rPr>
        <w:sym w:font="Symbol" w:char="F02A"/>
      </w:r>
      <w:r w:rsidRPr="0067406A">
        <w:rPr>
          <w:rFonts w:ascii="Cambria" w:eastAsiaTheme="majorEastAsia" w:hAnsi="Cambria" w:cstheme="majorBidi"/>
        </w:rPr>
        <w:t xml:space="preserve"> </w:t>
      </w:r>
      <w:proofErr w:type="spellStart"/>
      <w:r w:rsidR="000905E3" w:rsidRPr="000905E3">
        <w:rPr>
          <w:rFonts w:ascii="Cambria" w:eastAsiaTheme="majorEastAsia" w:hAnsi="Cambria" w:cstheme="majorBidi"/>
          <w:color w:val="1A1A1A"/>
          <w:lang w:val="en-US"/>
        </w:rPr>
        <w:t>Dr</w:t>
      </w:r>
      <w:proofErr w:type="spellEnd"/>
      <w:r w:rsidR="000905E3" w:rsidRPr="000905E3">
        <w:rPr>
          <w:rFonts w:ascii="Cambria" w:eastAsiaTheme="majorEastAsia" w:hAnsi="Cambria" w:cstheme="majorBidi"/>
          <w:color w:val="1A1A1A"/>
          <w:lang w:val="en-US"/>
        </w:rPr>
        <w:t xml:space="preserve"> Angela Dw</w:t>
      </w:r>
      <w:r w:rsidR="000905E3">
        <w:rPr>
          <w:rFonts w:ascii="Cambria" w:eastAsiaTheme="majorEastAsia" w:hAnsi="Cambria" w:cstheme="majorBidi"/>
          <w:color w:val="1A1A1A"/>
          <w:lang w:val="en-US"/>
        </w:rPr>
        <w:t>yer is an Associate Professor,</w:t>
      </w:r>
      <w:r w:rsidR="000905E3" w:rsidRPr="000905E3">
        <w:rPr>
          <w:rFonts w:ascii="Cambria" w:eastAsiaTheme="majorEastAsia" w:hAnsi="Cambria" w:cstheme="majorBidi"/>
          <w:color w:val="1A1A1A"/>
          <w:lang w:val="en-US"/>
        </w:rPr>
        <w:t xml:space="preserve"> Police Studies and Emergency Management, School of Social Sciences, University of Tasmania. </w:t>
      </w:r>
      <w:r w:rsidR="000905E3">
        <w:rPr>
          <w:rFonts w:ascii="Cambria" w:eastAsiaTheme="majorEastAsia" w:hAnsi="Cambria" w:cstheme="majorBidi"/>
          <w:color w:val="1A1A1A"/>
          <w:lang w:val="en-US"/>
        </w:rPr>
        <w:t>She is an Adjunct Professor with the Crime and Justice Research Centre</w:t>
      </w:r>
      <w:r w:rsidR="000905E3" w:rsidRPr="000905E3">
        <w:rPr>
          <w:rFonts w:ascii="Cambria" w:eastAsiaTheme="majorEastAsia" w:hAnsi="Cambria" w:cstheme="majorBidi"/>
          <w:color w:val="1A1A1A"/>
          <w:lang w:val="en-US"/>
        </w:rPr>
        <w:t xml:space="preserve"> at the Queensland University of Technology. Angela conducts research on the intersection between sexuality, gender diversity, and criminal justice.</w:t>
      </w:r>
    </w:p>
  </w:footnote>
  <w:footnote w:id="3">
    <w:p w14:paraId="667B3315" w14:textId="77777777" w:rsidR="00823EBF" w:rsidRPr="0067406A" w:rsidRDefault="00823EBF" w:rsidP="002D366D">
      <w:pPr>
        <w:spacing w:after="0" w:line="240" w:lineRule="auto"/>
        <w:ind w:right="140"/>
        <w:rPr>
          <w:rFonts w:ascii="Cambria" w:eastAsiaTheme="majorEastAsia" w:hAnsi="Cambria" w:cstheme="majorBidi"/>
          <w:sz w:val="20"/>
          <w:szCs w:val="20"/>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Angela </w:t>
      </w:r>
      <w:proofErr w:type="spellStart"/>
      <w:r w:rsidRPr="0067406A">
        <w:rPr>
          <w:rFonts w:ascii="Cambria" w:eastAsiaTheme="majorEastAsia" w:hAnsi="Cambria" w:cstheme="majorBidi"/>
          <w:sz w:val="20"/>
          <w:szCs w:val="20"/>
        </w:rPr>
        <w:t>Lavoipierre</w:t>
      </w:r>
      <w:proofErr w:type="spellEnd"/>
      <w:r w:rsidRPr="0067406A">
        <w:rPr>
          <w:rFonts w:ascii="Cambria" w:eastAsiaTheme="majorEastAsia" w:hAnsi="Cambria" w:cstheme="majorBidi"/>
          <w:sz w:val="20"/>
          <w:szCs w:val="20"/>
        </w:rPr>
        <w:t xml:space="preserve">, ‘NSW Police take DNA from Hundreds of Ex-Offenders to Build Crime-Solving Database’, </w:t>
      </w:r>
      <w:r w:rsidRPr="0067406A">
        <w:rPr>
          <w:rFonts w:ascii="Cambria" w:eastAsiaTheme="majorEastAsia" w:hAnsi="Cambria" w:cstheme="majorBidi"/>
          <w:i/>
          <w:iCs/>
          <w:sz w:val="20"/>
          <w:szCs w:val="20"/>
        </w:rPr>
        <w:t>ABC News</w:t>
      </w:r>
      <w:r w:rsidRPr="0067406A">
        <w:rPr>
          <w:rFonts w:ascii="Cambria" w:eastAsiaTheme="majorEastAsia" w:hAnsi="Cambria" w:cstheme="majorBidi"/>
          <w:sz w:val="20"/>
          <w:szCs w:val="20"/>
        </w:rPr>
        <w:t xml:space="preserve"> (online), 24 August 2015 &lt;</w:t>
      </w:r>
      <w:r w:rsidRPr="0047622D">
        <w:rPr>
          <w:rFonts w:ascii="Cambria" w:eastAsiaTheme="majorEastAsia" w:hAnsi="Cambria" w:cstheme="majorBidi"/>
          <w:sz w:val="20"/>
          <w:szCs w:val="20"/>
        </w:rPr>
        <w:t>http://www.abc.net.au/news/2014 -09-29/</w:t>
      </w:r>
      <w:proofErr w:type="spellStart"/>
      <w:r w:rsidRPr="0047622D">
        <w:rPr>
          <w:rFonts w:ascii="Cambria" w:eastAsiaTheme="majorEastAsia" w:hAnsi="Cambria" w:cstheme="majorBidi"/>
          <w:sz w:val="20"/>
          <w:szCs w:val="20"/>
        </w:rPr>
        <w:t>nsw</w:t>
      </w:r>
      <w:proofErr w:type="spellEnd"/>
      <w:r w:rsidRPr="0047622D">
        <w:rPr>
          <w:rFonts w:ascii="Cambria" w:eastAsiaTheme="majorEastAsia" w:hAnsi="Cambria" w:cstheme="majorBidi"/>
          <w:sz w:val="20"/>
          <w:szCs w:val="20"/>
        </w:rPr>
        <w:t>-police-take-</w:t>
      </w:r>
      <w:proofErr w:type="spellStart"/>
      <w:r w:rsidRPr="0047622D">
        <w:rPr>
          <w:rFonts w:ascii="Cambria" w:eastAsiaTheme="majorEastAsia" w:hAnsi="Cambria" w:cstheme="majorBidi"/>
          <w:sz w:val="20"/>
          <w:szCs w:val="20"/>
        </w:rPr>
        <w:t>dna</w:t>
      </w:r>
      <w:proofErr w:type="spellEnd"/>
      <w:r w:rsidRPr="0047622D">
        <w:rPr>
          <w:rFonts w:ascii="Cambria" w:eastAsiaTheme="majorEastAsia" w:hAnsi="Cambria" w:cstheme="majorBidi"/>
          <w:sz w:val="20"/>
          <w:szCs w:val="20"/>
        </w:rPr>
        <w:t>-from -hundreds-of-ex- criminals/5775990</w:t>
      </w:r>
      <w:r w:rsidRPr="0067406A">
        <w:rPr>
          <w:rFonts w:ascii="Cambria" w:eastAsiaTheme="majorEastAsia" w:hAnsi="Cambria" w:cstheme="majorBidi"/>
          <w:color w:val="000000"/>
          <w:sz w:val="20"/>
          <w:szCs w:val="20"/>
        </w:rPr>
        <w:t>&gt;.</w:t>
      </w:r>
    </w:p>
  </w:footnote>
  <w:footnote w:id="4">
    <w:p w14:paraId="08646D90" w14:textId="6C82F6C5" w:rsidR="00823EBF" w:rsidRPr="0067406A" w:rsidRDefault="00823EBF" w:rsidP="003F36F1">
      <w:pPr>
        <w:pStyle w:val="FootnoteText"/>
        <w:rPr>
          <w:rFonts w:ascii="Cambria" w:hAnsi="Cambria"/>
        </w:rPr>
      </w:pPr>
      <w:r w:rsidRPr="0067406A">
        <w:rPr>
          <w:rStyle w:val="FootnoteReference"/>
          <w:rFonts w:ascii="Cambria" w:hAnsi="Cambria"/>
          <w:highlight w:val="yellow"/>
        </w:rPr>
        <w:footnoteRef/>
      </w:r>
      <w:r w:rsidRPr="0067406A">
        <w:rPr>
          <w:rFonts w:ascii="Cambria" w:hAnsi="Cambria"/>
          <w:highlight w:val="yellow"/>
        </w:rPr>
        <w:t xml:space="preserve"> </w:t>
      </w:r>
      <w:r w:rsidR="000A60F1" w:rsidRPr="00623D3E">
        <w:rPr>
          <w:rFonts w:asciiTheme="majorHAnsi" w:hAnsiTheme="majorHAnsi"/>
        </w:rPr>
        <w:t xml:space="preserve">Sarah B. </w:t>
      </w:r>
      <w:proofErr w:type="spellStart"/>
      <w:r w:rsidR="000A60F1" w:rsidRPr="00623D3E">
        <w:rPr>
          <w:rFonts w:asciiTheme="majorHAnsi" w:hAnsiTheme="majorHAnsi"/>
        </w:rPr>
        <w:t>Berson</w:t>
      </w:r>
      <w:proofErr w:type="spellEnd"/>
      <w:r w:rsidR="000A60F1" w:rsidRPr="00623D3E">
        <w:rPr>
          <w:rFonts w:asciiTheme="majorHAnsi" w:hAnsiTheme="majorHAnsi"/>
        </w:rPr>
        <w:t xml:space="preserve">, ‘Debating DNA Collection’ (2009) </w:t>
      </w:r>
      <w:r w:rsidR="000A60F1" w:rsidRPr="00623D3E">
        <w:rPr>
          <w:rFonts w:asciiTheme="majorHAnsi" w:hAnsiTheme="majorHAnsi"/>
          <w:i/>
        </w:rPr>
        <w:t>National Institute of Justice (NIJ) Journal</w:t>
      </w:r>
      <w:r w:rsidR="000A60F1" w:rsidRPr="00623D3E">
        <w:rPr>
          <w:rFonts w:asciiTheme="majorHAnsi" w:hAnsiTheme="majorHAnsi"/>
        </w:rPr>
        <w:t xml:space="preserve"> 264, November &lt;http://www.nij.gov/journals/264/pages/debating-DNA.aspx&gt;</w:t>
      </w:r>
    </w:p>
  </w:footnote>
  <w:footnote w:id="5">
    <w:p w14:paraId="351C13F3" w14:textId="75812BFB"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Carole McCartney, ‘Forensic DNA Sampling and the England and Wales National DNA Database: A Sceptical Approach’ (2004) 12(2) </w:t>
      </w:r>
      <w:r w:rsidRPr="0067406A">
        <w:rPr>
          <w:rFonts w:ascii="Cambria" w:hAnsi="Cambria"/>
          <w:i/>
        </w:rPr>
        <w:t>Critical Criminology</w:t>
      </w:r>
      <w:r w:rsidRPr="0067406A">
        <w:rPr>
          <w:rFonts w:ascii="Cambria" w:hAnsi="Cambria"/>
        </w:rPr>
        <w:t xml:space="preserve"> 157, 157.</w:t>
      </w:r>
    </w:p>
  </w:footnote>
  <w:footnote w:id="6">
    <w:p w14:paraId="3682D712" w14:textId="5EFDE108"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Helen Wallace, ‘The UK National DNA Database’ (2006) 7 </w:t>
      </w:r>
      <w:r w:rsidRPr="0067406A">
        <w:rPr>
          <w:rFonts w:ascii="Cambria" w:eastAsiaTheme="majorEastAsia" w:hAnsi="Cambria" w:cstheme="majorBidi"/>
          <w:i/>
          <w:iCs/>
        </w:rPr>
        <w:t>European Molecular Biology</w:t>
      </w:r>
      <w:r w:rsidRPr="0067406A">
        <w:rPr>
          <w:rFonts w:ascii="Cambria" w:eastAsiaTheme="majorEastAsia" w:hAnsi="Cambria" w:cstheme="majorBidi"/>
        </w:rPr>
        <w:t xml:space="preserve"> </w:t>
      </w:r>
      <w:r w:rsidRPr="0067406A">
        <w:rPr>
          <w:rFonts w:ascii="Cambria" w:eastAsiaTheme="majorEastAsia" w:hAnsi="Cambria" w:cstheme="majorBidi"/>
          <w:i/>
          <w:iCs/>
        </w:rPr>
        <w:t xml:space="preserve">Organization Reports </w:t>
      </w:r>
      <w:r w:rsidRPr="0067406A">
        <w:rPr>
          <w:rFonts w:ascii="Cambria" w:eastAsiaTheme="majorEastAsia" w:hAnsi="Cambria" w:cstheme="majorBidi"/>
        </w:rPr>
        <w:t>26, 27.</w:t>
      </w:r>
    </w:p>
  </w:footnote>
  <w:footnote w:id="7">
    <w:p w14:paraId="5481A25B" w14:textId="281885A7" w:rsidR="00823EBF" w:rsidRPr="0047622D" w:rsidRDefault="00823EBF" w:rsidP="003F36F1">
      <w:pPr>
        <w:pStyle w:val="FootnoteText"/>
        <w:rPr>
          <w:rFonts w:ascii="Cambria" w:eastAsiaTheme="majorEastAsia" w:hAnsi="Cambria" w:cstheme="majorBidi"/>
          <w:color w:val="000000"/>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Edwin </w:t>
      </w:r>
      <w:proofErr w:type="spellStart"/>
      <w:r w:rsidRPr="0067406A">
        <w:rPr>
          <w:rFonts w:ascii="Cambria" w:eastAsiaTheme="majorEastAsia" w:hAnsi="Cambria" w:cstheme="majorBidi"/>
        </w:rPr>
        <w:t>Grimsley</w:t>
      </w:r>
      <w:proofErr w:type="spellEnd"/>
      <w:r w:rsidRPr="0067406A">
        <w:rPr>
          <w:rFonts w:ascii="Cambria" w:eastAsiaTheme="majorEastAsia" w:hAnsi="Cambria" w:cstheme="majorBidi"/>
        </w:rPr>
        <w:t xml:space="preserve">, </w:t>
      </w:r>
      <w:r w:rsidRPr="0067406A">
        <w:rPr>
          <w:rFonts w:ascii="Cambria" w:eastAsiaTheme="majorEastAsia" w:hAnsi="Cambria" w:cstheme="majorBidi"/>
          <w:i/>
        </w:rPr>
        <w:t>Lessons about Black Youth and Wrongful Convictions: Three Things You Should Know</w:t>
      </w:r>
      <w:r w:rsidRPr="0067406A">
        <w:rPr>
          <w:rFonts w:ascii="Cambria" w:eastAsiaTheme="majorEastAsia" w:hAnsi="Cambria" w:cstheme="majorBidi"/>
        </w:rPr>
        <w:t xml:space="preserve"> (1 May 2015) </w:t>
      </w:r>
      <w:r w:rsidRPr="0067406A">
        <w:rPr>
          <w:rFonts w:ascii="Cambria" w:eastAsiaTheme="majorEastAsia" w:hAnsi="Cambria" w:cstheme="majorBidi"/>
          <w:iCs/>
        </w:rPr>
        <w:t>Innocence Project</w:t>
      </w:r>
      <w:r w:rsidRPr="0067406A">
        <w:rPr>
          <w:rFonts w:ascii="Cambria" w:eastAsiaTheme="majorEastAsia" w:hAnsi="Cambria" w:cstheme="majorBidi"/>
        </w:rPr>
        <w:t xml:space="preserve"> &lt;</w:t>
      </w:r>
      <w:r w:rsidRPr="0047622D">
        <w:t>https://www.innocenceproject.org/lessons-about-black-youth-and-wrongful-convictions-three-things-you-should-know/</w:t>
      </w:r>
      <w:r w:rsidRPr="0067406A">
        <w:rPr>
          <w:rFonts w:ascii="Cambria" w:eastAsiaTheme="majorEastAsia" w:hAnsi="Cambria" w:cstheme="majorBidi"/>
          <w:color w:val="000000"/>
        </w:rPr>
        <w:t>&gt;.</w:t>
      </w:r>
    </w:p>
  </w:footnote>
  <w:footnote w:id="8">
    <w:p w14:paraId="450BC544" w14:textId="3E8DCAC7"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Beverley </w:t>
      </w:r>
      <w:proofErr w:type="spellStart"/>
      <w:r w:rsidRPr="0067406A">
        <w:rPr>
          <w:rFonts w:ascii="Cambria" w:hAnsi="Cambria"/>
        </w:rPr>
        <w:t>Steventon</w:t>
      </w:r>
      <w:proofErr w:type="spellEnd"/>
      <w:r w:rsidRPr="0067406A">
        <w:rPr>
          <w:rFonts w:ascii="Cambria" w:hAnsi="Cambria"/>
        </w:rPr>
        <w:t xml:space="preserve">, ‘Creating a DNA Database’ (1995) 59(4) </w:t>
      </w:r>
      <w:r w:rsidRPr="0067406A">
        <w:rPr>
          <w:rFonts w:ascii="Cambria" w:hAnsi="Cambria"/>
          <w:i/>
        </w:rPr>
        <w:t>Journal of Criminal Law</w:t>
      </w:r>
      <w:r w:rsidRPr="0067406A">
        <w:rPr>
          <w:rFonts w:ascii="Cambria" w:hAnsi="Cambria"/>
        </w:rPr>
        <w:t xml:space="preserve"> 411, 417.</w:t>
      </w:r>
    </w:p>
  </w:footnote>
  <w:footnote w:id="9">
    <w:p w14:paraId="5224DE5C" w14:textId="77777777"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Nicole L. Asquith and Isabelle </w:t>
      </w:r>
      <w:proofErr w:type="spellStart"/>
      <w:r w:rsidRPr="0067406A">
        <w:rPr>
          <w:rFonts w:ascii="Cambria" w:eastAsiaTheme="majorEastAsia" w:hAnsi="Cambria" w:cstheme="majorBidi"/>
        </w:rPr>
        <w:t>Bartkowiak</w:t>
      </w:r>
      <w:proofErr w:type="spellEnd"/>
      <w:r w:rsidRPr="0067406A">
        <w:rPr>
          <w:rFonts w:ascii="Cambria" w:eastAsiaTheme="majorEastAsia" w:hAnsi="Cambria" w:cstheme="majorBidi"/>
        </w:rPr>
        <w:t xml:space="preserve">-Theron, ‘Vulnerability and Diversity in Policing’ in Isabelle </w:t>
      </w:r>
      <w:proofErr w:type="spellStart"/>
      <w:r w:rsidRPr="0067406A">
        <w:rPr>
          <w:rFonts w:ascii="Cambria" w:eastAsiaTheme="majorEastAsia" w:hAnsi="Cambria" w:cstheme="majorBidi"/>
        </w:rPr>
        <w:t>Bartkowiak</w:t>
      </w:r>
      <w:proofErr w:type="spellEnd"/>
      <w:r w:rsidRPr="0067406A">
        <w:rPr>
          <w:rFonts w:ascii="Cambria" w:eastAsiaTheme="majorEastAsia" w:hAnsi="Cambria" w:cstheme="majorBidi"/>
        </w:rPr>
        <w:t>-Theron and Nicole L. Asquith (</w:t>
      </w:r>
      <w:proofErr w:type="spellStart"/>
      <w:r w:rsidRPr="0067406A">
        <w:rPr>
          <w:rFonts w:ascii="Cambria" w:eastAsiaTheme="majorEastAsia" w:hAnsi="Cambria" w:cstheme="majorBidi"/>
        </w:rPr>
        <w:t>eds</w:t>
      </w:r>
      <w:proofErr w:type="spellEnd"/>
      <w:r w:rsidRPr="0067406A">
        <w:rPr>
          <w:rFonts w:ascii="Cambria" w:eastAsiaTheme="majorEastAsia" w:hAnsi="Cambria" w:cstheme="majorBidi"/>
        </w:rPr>
        <w:t xml:space="preserve">), </w:t>
      </w:r>
      <w:r w:rsidRPr="0067406A">
        <w:rPr>
          <w:rFonts w:ascii="Cambria" w:eastAsiaTheme="majorEastAsia" w:hAnsi="Cambria" w:cstheme="majorBidi"/>
          <w:i/>
          <w:iCs/>
        </w:rPr>
        <w:t>Policing Vulnerability</w:t>
      </w:r>
      <w:r w:rsidRPr="0067406A">
        <w:rPr>
          <w:rFonts w:ascii="Cambria" w:eastAsiaTheme="majorEastAsia" w:hAnsi="Cambria" w:cstheme="majorBidi"/>
        </w:rPr>
        <w:t xml:space="preserve"> (Federation Press, 2012) 3.</w:t>
      </w:r>
    </w:p>
  </w:footnote>
  <w:footnote w:id="10">
    <w:p w14:paraId="410D9E2B" w14:textId="08DDC07B"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Wallace, above n 4, 27.</w:t>
      </w:r>
    </w:p>
  </w:footnote>
  <w:footnote w:id="11">
    <w:p w14:paraId="4279A313" w14:textId="77777777"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Andrei </w:t>
      </w:r>
      <w:proofErr w:type="spellStart"/>
      <w:r w:rsidRPr="0067406A">
        <w:rPr>
          <w:rFonts w:ascii="Cambria" w:eastAsiaTheme="majorEastAsia" w:hAnsi="Cambria" w:cstheme="majorBidi"/>
        </w:rPr>
        <w:t>Semikjodskii</w:t>
      </w:r>
      <w:proofErr w:type="spellEnd"/>
      <w:r w:rsidRPr="0067406A">
        <w:rPr>
          <w:rFonts w:ascii="Cambria" w:eastAsiaTheme="majorEastAsia" w:hAnsi="Cambria" w:cstheme="majorBidi"/>
        </w:rPr>
        <w:t xml:space="preserve">, </w:t>
      </w:r>
      <w:r w:rsidRPr="0067406A">
        <w:rPr>
          <w:rFonts w:ascii="Cambria" w:eastAsiaTheme="majorEastAsia" w:hAnsi="Cambria" w:cstheme="majorBidi"/>
          <w:i/>
          <w:iCs/>
        </w:rPr>
        <w:t>Dealing with DNA Evidence: A Legal Guide</w:t>
      </w:r>
      <w:r w:rsidRPr="0067406A">
        <w:rPr>
          <w:rFonts w:ascii="Cambria" w:eastAsiaTheme="majorEastAsia" w:hAnsi="Cambria" w:cstheme="majorBidi"/>
        </w:rPr>
        <w:t xml:space="preserve"> (Routledge, 2007); Helen Wallace, ‘Prejudice, Stigma and DNA Databases’ (2008) </w:t>
      </w:r>
      <w:proofErr w:type="spellStart"/>
      <w:r w:rsidRPr="0067406A">
        <w:rPr>
          <w:rFonts w:ascii="Cambria" w:eastAsiaTheme="majorEastAsia" w:hAnsi="Cambria" w:cstheme="majorBidi"/>
          <w:i/>
          <w:iCs/>
        </w:rPr>
        <w:t>GeneWatch</w:t>
      </w:r>
      <w:proofErr w:type="spellEnd"/>
      <w:r w:rsidRPr="0067406A">
        <w:rPr>
          <w:rFonts w:ascii="Cambria" w:eastAsiaTheme="majorEastAsia" w:hAnsi="Cambria" w:cstheme="majorBidi"/>
        </w:rPr>
        <w:t xml:space="preserve"> 28. &lt;http://www.councilforresponsiblegenetics.org/genewatch/GeneWatchPage.aspx?pageId=60&amp;arc hive=yes&gt;.</w:t>
      </w:r>
    </w:p>
  </w:footnote>
  <w:footnote w:id="12">
    <w:p w14:paraId="0900167C" w14:textId="07685B53"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Wallace, above n 4, 27.</w:t>
      </w:r>
    </w:p>
  </w:footnote>
  <w:footnote w:id="13">
    <w:p w14:paraId="5F9F9583" w14:textId="4662B2A5"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Andrew </w:t>
      </w:r>
      <w:proofErr w:type="spellStart"/>
      <w:r w:rsidRPr="0067406A">
        <w:rPr>
          <w:rFonts w:ascii="Cambria" w:eastAsiaTheme="majorEastAsia" w:hAnsi="Cambria" w:cstheme="majorBidi"/>
        </w:rPr>
        <w:t>Haesler</w:t>
      </w:r>
      <w:proofErr w:type="spellEnd"/>
      <w:r w:rsidRPr="0067406A">
        <w:rPr>
          <w:rFonts w:ascii="Cambria" w:eastAsiaTheme="majorEastAsia" w:hAnsi="Cambria" w:cstheme="majorBidi"/>
        </w:rPr>
        <w:t xml:space="preserve">, ‘DNA and Policing’ (2001) 79 </w:t>
      </w:r>
      <w:r w:rsidRPr="0067406A">
        <w:rPr>
          <w:rFonts w:ascii="Cambria" w:eastAsiaTheme="majorEastAsia" w:hAnsi="Cambria" w:cstheme="majorBidi"/>
          <w:i/>
        </w:rPr>
        <w:t xml:space="preserve">Australian Law </w:t>
      </w:r>
      <w:r w:rsidRPr="0067406A">
        <w:rPr>
          <w:rFonts w:ascii="Cambria" w:eastAsiaTheme="majorEastAsia" w:hAnsi="Cambria" w:cstheme="majorBidi"/>
          <w:i/>
          <w:iCs/>
        </w:rPr>
        <w:t>Reform Commission - Reform Journal</w:t>
      </w:r>
      <w:r w:rsidRPr="0067406A">
        <w:rPr>
          <w:rFonts w:ascii="Cambria" w:eastAsiaTheme="majorEastAsia" w:hAnsi="Cambria" w:cstheme="majorBidi"/>
        </w:rPr>
        <w:t xml:space="preserve"> 27, 30.</w:t>
      </w:r>
    </w:p>
  </w:footnote>
  <w:footnote w:id="14">
    <w:p w14:paraId="56963D09" w14:textId="77777777"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Peter Butt (</w:t>
      </w:r>
      <w:proofErr w:type="spellStart"/>
      <w:r w:rsidRPr="0067406A">
        <w:rPr>
          <w:rFonts w:ascii="Cambria" w:eastAsiaTheme="majorEastAsia" w:hAnsi="Cambria" w:cstheme="majorBidi"/>
        </w:rPr>
        <w:t>ed</w:t>
      </w:r>
      <w:proofErr w:type="spellEnd"/>
      <w:r w:rsidRPr="0067406A">
        <w:rPr>
          <w:rFonts w:ascii="Cambria" w:eastAsiaTheme="majorEastAsia" w:hAnsi="Cambria" w:cstheme="majorBidi"/>
        </w:rPr>
        <w:t xml:space="preserve">), </w:t>
      </w:r>
      <w:r w:rsidRPr="0067406A">
        <w:rPr>
          <w:rFonts w:ascii="Cambria" w:eastAsiaTheme="majorEastAsia" w:hAnsi="Cambria" w:cstheme="majorBidi"/>
          <w:i/>
          <w:iCs/>
        </w:rPr>
        <w:t>Butterworth’s Concise Australian Legal Dictionary</w:t>
      </w:r>
      <w:r w:rsidRPr="0067406A">
        <w:rPr>
          <w:rFonts w:ascii="Cambria" w:eastAsiaTheme="majorEastAsia" w:hAnsi="Cambria" w:cstheme="majorBidi"/>
        </w:rPr>
        <w:t xml:space="preserve"> (Lexis Nexis, 3</w:t>
      </w:r>
      <w:r w:rsidRPr="0067406A">
        <w:rPr>
          <w:rFonts w:ascii="Cambria" w:eastAsiaTheme="majorEastAsia" w:hAnsi="Cambria" w:cstheme="majorBidi"/>
          <w:vertAlign w:val="superscript"/>
        </w:rPr>
        <w:t>rd</w:t>
      </w:r>
      <w:r w:rsidRPr="0067406A">
        <w:rPr>
          <w:rFonts w:ascii="Cambria" w:eastAsiaTheme="majorEastAsia" w:hAnsi="Cambria" w:cstheme="majorBidi"/>
        </w:rPr>
        <w:t xml:space="preserve"> </w:t>
      </w:r>
      <w:proofErr w:type="spellStart"/>
      <w:r w:rsidRPr="0067406A">
        <w:rPr>
          <w:rFonts w:ascii="Cambria" w:eastAsiaTheme="majorEastAsia" w:hAnsi="Cambria" w:cstheme="majorBidi"/>
        </w:rPr>
        <w:t>ed</w:t>
      </w:r>
      <w:proofErr w:type="spellEnd"/>
      <w:r w:rsidRPr="0067406A">
        <w:rPr>
          <w:rFonts w:ascii="Cambria" w:eastAsiaTheme="majorEastAsia" w:hAnsi="Cambria" w:cstheme="majorBidi"/>
        </w:rPr>
        <w:t>, 2004) 205.</w:t>
      </w:r>
    </w:p>
  </w:footnote>
  <w:footnote w:id="15">
    <w:p w14:paraId="51B61179" w14:textId="77777777" w:rsidR="00823EBF" w:rsidRPr="0067406A" w:rsidRDefault="00823EBF" w:rsidP="002D366D">
      <w:pPr>
        <w:tabs>
          <w:tab w:val="left" w:pos="200"/>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 xml:space="preserve">Police Powers and Responsibilities Act 2000 </w:t>
      </w:r>
      <w:r w:rsidRPr="0067406A">
        <w:rPr>
          <w:rFonts w:ascii="Cambria" w:eastAsiaTheme="majorEastAsia" w:hAnsi="Cambria" w:cstheme="majorBidi"/>
          <w:sz w:val="20"/>
          <w:szCs w:val="20"/>
        </w:rPr>
        <w:t>(Qld).</w:t>
      </w:r>
    </w:p>
  </w:footnote>
  <w:footnote w:id="16">
    <w:p w14:paraId="726220B3" w14:textId="77777777" w:rsidR="00823EBF" w:rsidRPr="0067406A" w:rsidRDefault="00823EBF" w:rsidP="002D366D">
      <w:pPr>
        <w:tabs>
          <w:tab w:val="left" w:pos="200"/>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Juvenile Justice Act 1992</w:t>
      </w:r>
      <w:r w:rsidRPr="0067406A">
        <w:rPr>
          <w:rFonts w:ascii="Cambria" w:eastAsiaTheme="majorEastAsia" w:hAnsi="Cambria" w:cstheme="majorBidi"/>
          <w:sz w:val="20"/>
          <w:szCs w:val="20"/>
        </w:rPr>
        <w:t xml:space="preserve"> (Qld).</w:t>
      </w:r>
    </w:p>
  </w:footnote>
  <w:footnote w:id="17">
    <w:p w14:paraId="4E1D50E4" w14:textId="6F2709D2" w:rsidR="00823EBF" w:rsidRPr="0067406A" w:rsidRDefault="00823EBF" w:rsidP="002D366D">
      <w:pPr>
        <w:tabs>
          <w:tab w:val="left" w:pos="202"/>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 xml:space="preserve">Convention on the Rights of the Child, </w:t>
      </w:r>
      <w:r w:rsidRPr="0067406A">
        <w:rPr>
          <w:rFonts w:ascii="Cambria" w:eastAsiaTheme="majorEastAsia" w:hAnsi="Cambria" w:cstheme="majorBidi"/>
          <w:iCs/>
          <w:sz w:val="20"/>
          <w:szCs w:val="20"/>
        </w:rPr>
        <w:t>o</w:t>
      </w:r>
      <w:r w:rsidRPr="0067406A">
        <w:rPr>
          <w:rFonts w:ascii="Cambria" w:eastAsiaTheme="majorEastAsia" w:hAnsi="Cambria" w:cstheme="majorBidi"/>
          <w:sz w:val="20"/>
          <w:szCs w:val="20"/>
        </w:rPr>
        <w:t>pened for signature 20 November 1989, 1577 UNTS 3 (entered into force 2 September 1990).</w:t>
      </w:r>
    </w:p>
  </w:footnote>
  <w:footnote w:id="18">
    <w:p w14:paraId="55B50B3A" w14:textId="2E92E291" w:rsidR="00823EBF" w:rsidRPr="0067406A" w:rsidRDefault="00823EBF" w:rsidP="002D366D">
      <w:pPr>
        <w:tabs>
          <w:tab w:val="left" w:pos="202"/>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United Nations General Assembly, </w:t>
      </w:r>
      <w:r w:rsidRPr="0067406A">
        <w:rPr>
          <w:rFonts w:ascii="Cambria" w:eastAsiaTheme="majorEastAsia" w:hAnsi="Cambria" w:cstheme="majorBidi"/>
          <w:i/>
          <w:iCs/>
          <w:sz w:val="20"/>
          <w:szCs w:val="20"/>
        </w:rPr>
        <w:t>United Nations Standard Minimum Rules for the Administration of Juvenile Justice</w:t>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(“The Beijing Rules”),</w:t>
      </w:r>
      <w:r w:rsidRPr="0067406A">
        <w:rPr>
          <w:rFonts w:ascii="Cambria" w:eastAsiaTheme="majorEastAsia" w:hAnsi="Cambria" w:cstheme="majorBidi"/>
          <w:iCs/>
          <w:sz w:val="20"/>
          <w:szCs w:val="20"/>
        </w:rPr>
        <w:t xml:space="preserve"> GA Res 40/33, UN GAOR,</w:t>
      </w:r>
      <w:r w:rsidRPr="0067406A">
        <w:rPr>
          <w:rFonts w:ascii="Cambria" w:eastAsiaTheme="majorEastAsia" w:hAnsi="Cambria" w:cstheme="majorBidi"/>
          <w:i/>
          <w:iCs/>
          <w:sz w:val="20"/>
          <w:szCs w:val="20"/>
        </w:rPr>
        <w:t xml:space="preserve"> </w:t>
      </w:r>
      <w:r w:rsidRPr="0067406A">
        <w:rPr>
          <w:rFonts w:ascii="Cambria" w:eastAsiaTheme="majorEastAsia" w:hAnsi="Cambria" w:cstheme="majorBidi"/>
          <w:iCs/>
          <w:sz w:val="20"/>
          <w:szCs w:val="20"/>
        </w:rPr>
        <w:t>40</w:t>
      </w:r>
      <w:r w:rsidRPr="0067406A">
        <w:rPr>
          <w:rFonts w:ascii="Cambria" w:eastAsiaTheme="majorEastAsia" w:hAnsi="Cambria" w:cstheme="majorBidi"/>
          <w:iCs/>
          <w:sz w:val="20"/>
          <w:szCs w:val="20"/>
          <w:vertAlign w:val="superscript"/>
        </w:rPr>
        <w:t>th</w:t>
      </w:r>
      <w:r w:rsidRPr="0067406A">
        <w:rPr>
          <w:rFonts w:ascii="Cambria" w:eastAsiaTheme="majorEastAsia" w:hAnsi="Cambria" w:cstheme="majorBidi"/>
          <w:iCs/>
          <w:sz w:val="20"/>
          <w:szCs w:val="20"/>
        </w:rPr>
        <w:t xml:space="preserve"> </w:t>
      </w:r>
      <w:proofErr w:type="spellStart"/>
      <w:r w:rsidRPr="0067406A">
        <w:rPr>
          <w:rFonts w:ascii="Cambria" w:eastAsiaTheme="majorEastAsia" w:hAnsi="Cambria" w:cstheme="majorBidi"/>
          <w:iCs/>
          <w:sz w:val="20"/>
          <w:szCs w:val="20"/>
        </w:rPr>
        <w:t>sess</w:t>
      </w:r>
      <w:proofErr w:type="spellEnd"/>
      <w:r w:rsidRPr="0067406A">
        <w:rPr>
          <w:rFonts w:ascii="Cambria" w:eastAsiaTheme="majorEastAsia" w:hAnsi="Cambria" w:cstheme="majorBidi"/>
          <w:iCs/>
          <w:sz w:val="20"/>
          <w:szCs w:val="20"/>
        </w:rPr>
        <w:t>, 96</w:t>
      </w:r>
      <w:r w:rsidRPr="0067406A">
        <w:rPr>
          <w:rFonts w:ascii="Cambria" w:eastAsiaTheme="majorEastAsia" w:hAnsi="Cambria" w:cstheme="majorBidi"/>
          <w:iCs/>
          <w:sz w:val="20"/>
          <w:szCs w:val="20"/>
          <w:vertAlign w:val="superscript"/>
        </w:rPr>
        <w:t>th</w:t>
      </w:r>
      <w:r w:rsidRPr="0067406A">
        <w:rPr>
          <w:rFonts w:ascii="Cambria" w:eastAsiaTheme="majorEastAsia" w:hAnsi="Cambria" w:cstheme="majorBidi"/>
          <w:iCs/>
          <w:sz w:val="20"/>
          <w:szCs w:val="20"/>
        </w:rPr>
        <w:t xml:space="preserve"> </w:t>
      </w:r>
      <w:proofErr w:type="spellStart"/>
      <w:r w:rsidRPr="0067406A">
        <w:rPr>
          <w:rFonts w:ascii="Cambria" w:eastAsiaTheme="majorEastAsia" w:hAnsi="Cambria" w:cstheme="majorBidi"/>
          <w:iCs/>
          <w:sz w:val="20"/>
          <w:szCs w:val="20"/>
        </w:rPr>
        <w:t>plen</w:t>
      </w:r>
      <w:proofErr w:type="spellEnd"/>
      <w:r w:rsidRPr="0067406A">
        <w:rPr>
          <w:rFonts w:ascii="Cambria" w:eastAsiaTheme="majorEastAsia" w:hAnsi="Cambria" w:cstheme="majorBidi"/>
          <w:iCs/>
          <w:sz w:val="20"/>
          <w:szCs w:val="20"/>
        </w:rPr>
        <w:t xml:space="preserve"> </w:t>
      </w:r>
      <w:proofErr w:type="spellStart"/>
      <w:r w:rsidRPr="0067406A">
        <w:rPr>
          <w:rFonts w:ascii="Cambria" w:eastAsiaTheme="majorEastAsia" w:hAnsi="Cambria" w:cstheme="majorBidi"/>
          <w:iCs/>
          <w:sz w:val="20"/>
          <w:szCs w:val="20"/>
        </w:rPr>
        <w:t>mtg</w:t>
      </w:r>
      <w:proofErr w:type="spellEnd"/>
      <w:r w:rsidRPr="0067406A">
        <w:rPr>
          <w:rFonts w:ascii="Cambria" w:eastAsiaTheme="majorEastAsia" w:hAnsi="Cambria" w:cstheme="majorBidi"/>
          <w:iCs/>
          <w:sz w:val="20"/>
          <w:szCs w:val="20"/>
        </w:rPr>
        <w:t xml:space="preserve">, UN Doc A/RES/40/33 (adopted 29 November 1985). </w:t>
      </w:r>
    </w:p>
  </w:footnote>
  <w:footnote w:id="19">
    <w:p w14:paraId="33343E56" w14:textId="65C9A3A3"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Terry Hutchinson, ‘“A Slap on the Wrist”? The Conservative Agenda in Queensland, Australia’ (2015) 15(2) </w:t>
      </w:r>
      <w:r w:rsidRPr="0067406A">
        <w:rPr>
          <w:rFonts w:ascii="Cambria" w:hAnsi="Cambria"/>
          <w:i/>
        </w:rPr>
        <w:t>Youth Justice</w:t>
      </w:r>
      <w:r w:rsidRPr="0067406A">
        <w:rPr>
          <w:rFonts w:ascii="Cambria" w:hAnsi="Cambria"/>
        </w:rPr>
        <w:t xml:space="preserve"> 134.</w:t>
      </w:r>
    </w:p>
  </w:footnote>
  <w:footnote w:id="20">
    <w:p w14:paraId="67766584" w14:textId="36A9FA6E" w:rsidR="00823EBF" w:rsidRPr="003018D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Robin Williams, ‘DNA Profiling’ (2008), in Tim Newburn and Peter </w:t>
      </w:r>
      <w:proofErr w:type="spellStart"/>
      <w:r w:rsidRPr="0067406A">
        <w:rPr>
          <w:rFonts w:ascii="Cambria" w:hAnsi="Cambria"/>
        </w:rPr>
        <w:t>Neyroud</w:t>
      </w:r>
      <w:proofErr w:type="spellEnd"/>
      <w:r w:rsidRPr="0067406A">
        <w:rPr>
          <w:rFonts w:ascii="Cambria" w:hAnsi="Cambria"/>
        </w:rPr>
        <w:t xml:space="preserve"> (</w:t>
      </w:r>
      <w:proofErr w:type="spellStart"/>
      <w:r w:rsidRPr="0067406A">
        <w:rPr>
          <w:rFonts w:ascii="Cambria" w:hAnsi="Cambria"/>
        </w:rPr>
        <w:t>eds</w:t>
      </w:r>
      <w:proofErr w:type="spellEnd"/>
      <w:r w:rsidRPr="0067406A">
        <w:rPr>
          <w:rFonts w:ascii="Cambria" w:hAnsi="Cambria"/>
        </w:rPr>
        <w:t xml:space="preserve">) </w:t>
      </w:r>
      <w:r w:rsidRPr="0067406A">
        <w:rPr>
          <w:rFonts w:ascii="Cambria" w:hAnsi="Cambria"/>
          <w:i/>
        </w:rPr>
        <w:t>Dictionary of Policing</w:t>
      </w:r>
      <w:r w:rsidRPr="0067406A">
        <w:rPr>
          <w:rFonts w:ascii="Cambria" w:hAnsi="Cambria"/>
        </w:rPr>
        <w:t xml:space="preserve"> </w:t>
      </w:r>
      <w:r w:rsidRPr="003018DA">
        <w:rPr>
          <w:rFonts w:ascii="Cambria" w:hAnsi="Cambria"/>
        </w:rPr>
        <w:t>(</w:t>
      </w:r>
      <w:proofErr w:type="spellStart"/>
      <w:r w:rsidRPr="003018DA">
        <w:rPr>
          <w:rFonts w:ascii="Cambria" w:hAnsi="Cambria"/>
        </w:rPr>
        <w:t>Willan</w:t>
      </w:r>
      <w:proofErr w:type="spellEnd"/>
      <w:r w:rsidRPr="003018DA">
        <w:rPr>
          <w:rFonts w:ascii="Cambria" w:hAnsi="Cambria"/>
        </w:rPr>
        <w:t>, 2008) 86, 86.</w:t>
      </w:r>
    </w:p>
  </w:footnote>
  <w:footnote w:id="21">
    <w:p w14:paraId="6CA7764C" w14:textId="77777777" w:rsidR="00823EBF" w:rsidRPr="003018DA" w:rsidRDefault="00823EBF" w:rsidP="003F36F1">
      <w:pPr>
        <w:pStyle w:val="FootnoteText"/>
        <w:rPr>
          <w:rFonts w:ascii="Cambria" w:hAnsi="Cambria"/>
        </w:rPr>
      </w:pPr>
      <w:r w:rsidRPr="003018DA">
        <w:rPr>
          <w:rStyle w:val="FootnoteReference"/>
          <w:rFonts w:ascii="Cambria" w:hAnsi="Cambria"/>
        </w:rPr>
        <w:footnoteRef/>
      </w:r>
      <w:r w:rsidRPr="003018DA">
        <w:rPr>
          <w:rFonts w:ascii="Cambria" w:hAnsi="Cambria"/>
        </w:rPr>
        <w:t xml:space="preserve"> </w:t>
      </w:r>
      <w:r w:rsidRPr="003018DA">
        <w:rPr>
          <w:rFonts w:ascii="Cambria" w:eastAsiaTheme="majorEastAsia" w:hAnsi="Cambria" w:cstheme="majorBidi"/>
          <w:i/>
          <w:iCs/>
        </w:rPr>
        <w:t xml:space="preserve">Police Powers and Responsibilities Act 2000 </w:t>
      </w:r>
      <w:r w:rsidRPr="003018DA">
        <w:rPr>
          <w:rFonts w:ascii="Cambria" w:eastAsiaTheme="majorEastAsia" w:hAnsi="Cambria" w:cstheme="majorBidi"/>
        </w:rPr>
        <w:t xml:space="preserve">(Qld) </w:t>
      </w:r>
      <w:proofErr w:type="spellStart"/>
      <w:r w:rsidRPr="003018DA">
        <w:rPr>
          <w:rFonts w:ascii="Cambria" w:eastAsiaTheme="majorEastAsia" w:hAnsi="Cambria" w:cstheme="majorBidi"/>
        </w:rPr>
        <w:t>sch</w:t>
      </w:r>
      <w:proofErr w:type="spellEnd"/>
      <w:r w:rsidRPr="003018DA">
        <w:rPr>
          <w:rFonts w:ascii="Cambria" w:eastAsiaTheme="majorEastAsia" w:hAnsi="Cambria" w:cstheme="majorBidi"/>
        </w:rPr>
        <w:t xml:space="preserve"> 6.</w:t>
      </w:r>
    </w:p>
  </w:footnote>
  <w:footnote w:id="22">
    <w:p w14:paraId="7ED158B8" w14:textId="733FD221" w:rsidR="00823EBF" w:rsidRPr="003018DA" w:rsidRDefault="00823EBF" w:rsidP="003F36F1">
      <w:pPr>
        <w:pStyle w:val="FootnoteText"/>
        <w:rPr>
          <w:rFonts w:ascii="Cambria" w:hAnsi="Cambria"/>
        </w:rPr>
      </w:pPr>
      <w:r w:rsidRPr="003018DA">
        <w:rPr>
          <w:rStyle w:val="FootnoteReference"/>
          <w:rFonts w:ascii="Cambria" w:hAnsi="Cambria"/>
        </w:rPr>
        <w:footnoteRef/>
      </w:r>
      <w:r w:rsidRPr="003018DA">
        <w:rPr>
          <w:rFonts w:ascii="Cambria" w:hAnsi="Cambria"/>
        </w:rPr>
        <w:t xml:space="preserve"> </w:t>
      </w:r>
      <w:r w:rsidRPr="003018DA">
        <w:rPr>
          <w:rFonts w:ascii="Cambria" w:eastAsiaTheme="majorEastAsia" w:hAnsi="Cambria" w:cstheme="majorBidi"/>
          <w:iCs/>
        </w:rPr>
        <w:t xml:space="preserve">Ibid. </w:t>
      </w:r>
    </w:p>
  </w:footnote>
  <w:footnote w:id="23">
    <w:p w14:paraId="182F695C" w14:textId="5D03FC9C" w:rsidR="00823EBF" w:rsidRPr="003018DA" w:rsidRDefault="00823EBF" w:rsidP="003F36F1">
      <w:pPr>
        <w:pStyle w:val="FootnoteText"/>
        <w:rPr>
          <w:rFonts w:ascii="Cambria" w:hAnsi="Cambria"/>
        </w:rPr>
      </w:pPr>
      <w:r w:rsidRPr="003018DA">
        <w:rPr>
          <w:rStyle w:val="FootnoteReference"/>
          <w:rFonts w:ascii="Cambria" w:hAnsi="Cambria"/>
        </w:rPr>
        <w:footnoteRef/>
      </w:r>
      <w:r w:rsidRPr="003018DA">
        <w:rPr>
          <w:rFonts w:ascii="Cambria" w:hAnsi="Cambria"/>
        </w:rPr>
        <w:t xml:space="preserve"> Williams, above n 18, 86.</w:t>
      </w:r>
    </w:p>
  </w:footnote>
  <w:footnote w:id="24">
    <w:p w14:paraId="1BE36DFB" w14:textId="33AEFA22" w:rsidR="00823EBF" w:rsidRPr="0047622D" w:rsidRDefault="00823EBF">
      <w:pPr>
        <w:pStyle w:val="FootnoteText"/>
        <w:rPr>
          <w:rFonts w:ascii="Cambria" w:hAnsi="Cambria"/>
        </w:rPr>
      </w:pPr>
      <w:r w:rsidRPr="003018DA">
        <w:rPr>
          <w:rStyle w:val="FootnoteReference"/>
          <w:rFonts w:ascii="Cambria" w:hAnsi="Cambria"/>
        </w:rPr>
        <w:footnoteRef/>
      </w:r>
      <w:r w:rsidRPr="003018DA">
        <w:rPr>
          <w:rFonts w:ascii="Cambria" w:hAnsi="Cambria"/>
        </w:rPr>
        <w:t xml:space="preserve"> </w:t>
      </w:r>
      <w:r w:rsidR="00B41CBD" w:rsidRPr="003018DA">
        <w:rPr>
          <w:rFonts w:ascii="Cambria" w:hAnsi="Cambria"/>
        </w:rPr>
        <w:t>Australia and New Zealand Policing Advisory Agency ‘Laboratory Sciences’</w:t>
      </w:r>
      <w:r w:rsidR="00930A5E" w:rsidRPr="003018DA">
        <w:rPr>
          <w:rFonts w:ascii="Cambria" w:hAnsi="Cambria"/>
        </w:rPr>
        <w:t xml:space="preserve"> &lt;http://www.anzpaa.org.au/forensic-science/forensic-sciences/forensic-science-disciplines/laboratory-</w:t>
      </w:r>
      <w:r w:rsidR="00930A5E" w:rsidRPr="00930A5E">
        <w:rPr>
          <w:rFonts w:ascii="Cambria" w:hAnsi="Cambria"/>
        </w:rPr>
        <w:t>sciences</w:t>
      </w:r>
      <w:r w:rsidR="00930A5E">
        <w:rPr>
          <w:rFonts w:ascii="Cambria" w:hAnsi="Cambria"/>
        </w:rPr>
        <w:t>&gt;</w:t>
      </w:r>
    </w:p>
  </w:footnote>
  <w:footnote w:id="25">
    <w:p w14:paraId="05175C30" w14:textId="284D8C26"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t>
      </w:r>
      <w:r w:rsidRPr="00270FD3">
        <w:rPr>
          <w:rFonts w:ascii="Cambria" w:hAnsi="Cambria"/>
        </w:rPr>
        <w:t xml:space="preserve">Jeremy </w:t>
      </w:r>
      <w:proofErr w:type="spellStart"/>
      <w:r w:rsidRPr="00270FD3">
        <w:rPr>
          <w:rFonts w:ascii="Cambria" w:hAnsi="Cambria"/>
        </w:rPr>
        <w:t>Gans</w:t>
      </w:r>
      <w:proofErr w:type="spellEnd"/>
      <w:r w:rsidRPr="00270FD3">
        <w:rPr>
          <w:rFonts w:ascii="Cambria" w:hAnsi="Cambria"/>
        </w:rPr>
        <w:t xml:space="preserve"> and </w:t>
      </w:r>
      <w:proofErr w:type="spellStart"/>
      <w:r w:rsidRPr="00270FD3">
        <w:rPr>
          <w:rFonts w:ascii="Cambria" w:hAnsi="Cambria"/>
        </w:rPr>
        <w:t>Gregor</w:t>
      </w:r>
      <w:proofErr w:type="spellEnd"/>
      <w:r w:rsidRPr="00270FD3">
        <w:rPr>
          <w:rFonts w:ascii="Cambria" w:hAnsi="Cambria"/>
        </w:rPr>
        <w:t xml:space="preserve"> </w:t>
      </w:r>
      <w:proofErr w:type="spellStart"/>
      <w:r w:rsidRPr="00270FD3">
        <w:rPr>
          <w:rFonts w:ascii="Cambria" w:hAnsi="Cambria"/>
        </w:rPr>
        <w:t>Urbas</w:t>
      </w:r>
      <w:proofErr w:type="spellEnd"/>
      <w:r w:rsidRPr="00270FD3">
        <w:rPr>
          <w:rFonts w:ascii="Cambria" w:hAnsi="Cambria"/>
        </w:rPr>
        <w:t>, ‘DNA Identification in the Criminal Justice System’ (</w:t>
      </w:r>
      <w:r w:rsidR="00935478" w:rsidRPr="00270FD3">
        <w:rPr>
          <w:rFonts w:ascii="Cambria" w:hAnsi="Cambria"/>
        </w:rPr>
        <w:t xml:space="preserve">Research Paper, No 226, </w:t>
      </w:r>
      <w:r w:rsidR="00270FD3" w:rsidRPr="00270FD3">
        <w:rPr>
          <w:rFonts w:ascii="Cambria" w:hAnsi="Cambria"/>
        </w:rPr>
        <w:t xml:space="preserve">Australian Institute of Criminology, </w:t>
      </w:r>
      <w:r w:rsidR="00935478" w:rsidRPr="00270FD3">
        <w:rPr>
          <w:rFonts w:ascii="Cambria" w:hAnsi="Cambria"/>
        </w:rPr>
        <w:t xml:space="preserve">May </w:t>
      </w:r>
      <w:r w:rsidRPr="00270FD3">
        <w:rPr>
          <w:rFonts w:ascii="Cambria" w:hAnsi="Cambria"/>
        </w:rPr>
        <w:t>2002), 1.</w:t>
      </w:r>
    </w:p>
  </w:footnote>
  <w:footnote w:id="26">
    <w:p w14:paraId="06ACDE51" w14:textId="34B4C4CD"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Ibid</w:t>
      </w:r>
    </w:p>
  </w:footnote>
  <w:footnote w:id="27">
    <w:p w14:paraId="3AEECF96" w14:textId="15EEC318"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Williams, above n 18, 86.</w:t>
      </w:r>
    </w:p>
  </w:footnote>
  <w:footnote w:id="28">
    <w:p w14:paraId="02B42E37" w14:textId="03BF224D"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t>
      </w:r>
      <w:proofErr w:type="spellStart"/>
      <w:r w:rsidRPr="0067406A">
        <w:rPr>
          <w:rFonts w:ascii="Cambria" w:hAnsi="Cambria"/>
        </w:rPr>
        <w:t>Gans</w:t>
      </w:r>
      <w:proofErr w:type="spellEnd"/>
      <w:r w:rsidRPr="0067406A">
        <w:rPr>
          <w:rFonts w:ascii="Cambria" w:hAnsi="Cambria"/>
        </w:rPr>
        <w:t xml:space="preserve"> and </w:t>
      </w:r>
      <w:proofErr w:type="spellStart"/>
      <w:r w:rsidRPr="0067406A">
        <w:rPr>
          <w:rFonts w:ascii="Cambria" w:hAnsi="Cambria"/>
        </w:rPr>
        <w:t>Urbas</w:t>
      </w:r>
      <w:proofErr w:type="spellEnd"/>
      <w:r w:rsidRPr="0067406A">
        <w:rPr>
          <w:rFonts w:ascii="Cambria" w:hAnsi="Cambria"/>
        </w:rPr>
        <w:t>, above n 23, 1.</w:t>
      </w:r>
    </w:p>
  </w:footnote>
  <w:footnote w:id="29">
    <w:p w14:paraId="5598EC07" w14:textId="56938863"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Williams, above n 18, 86.</w:t>
      </w:r>
    </w:p>
  </w:footnote>
  <w:footnote w:id="30">
    <w:p w14:paraId="58B1ADEA" w14:textId="21467879"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Robyn Lincoln, ‘Human Rights (and Wrongs) of DNA Testing and Evidence’ (2001) 7 </w:t>
      </w:r>
      <w:r w:rsidRPr="0067406A">
        <w:rPr>
          <w:rFonts w:ascii="Cambria" w:eastAsiaTheme="majorEastAsia" w:hAnsi="Cambria" w:cstheme="majorBidi"/>
          <w:i/>
          <w:iCs/>
        </w:rPr>
        <w:t>The National</w:t>
      </w:r>
      <w:r w:rsidRPr="0067406A">
        <w:rPr>
          <w:rFonts w:ascii="Cambria" w:eastAsiaTheme="majorEastAsia" w:hAnsi="Cambria" w:cstheme="majorBidi"/>
        </w:rPr>
        <w:t xml:space="preserve"> </w:t>
      </w:r>
      <w:r w:rsidRPr="0067406A">
        <w:rPr>
          <w:rFonts w:ascii="Cambria" w:eastAsiaTheme="majorEastAsia" w:hAnsi="Cambria" w:cstheme="majorBidi"/>
          <w:i/>
          <w:iCs/>
        </w:rPr>
        <w:t>Legal Eagle</w:t>
      </w:r>
      <w:r w:rsidRPr="0067406A">
        <w:rPr>
          <w:rFonts w:ascii="Cambria" w:eastAsiaTheme="majorEastAsia" w:hAnsi="Cambria" w:cstheme="majorBidi"/>
        </w:rPr>
        <w:t xml:space="preserve"> 3; </w:t>
      </w:r>
      <w:proofErr w:type="spellStart"/>
      <w:r w:rsidRPr="0067406A">
        <w:rPr>
          <w:rFonts w:ascii="Cambria" w:eastAsiaTheme="majorEastAsia" w:hAnsi="Cambria" w:cstheme="majorBidi"/>
        </w:rPr>
        <w:t>Mairi</w:t>
      </w:r>
      <w:proofErr w:type="spellEnd"/>
      <w:r w:rsidRPr="0067406A">
        <w:rPr>
          <w:rFonts w:ascii="Cambria" w:eastAsiaTheme="majorEastAsia" w:hAnsi="Cambria" w:cstheme="majorBidi"/>
        </w:rPr>
        <w:t xml:space="preserve"> Levitt and Floris </w:t>
      </w:r>
      <w:proofErr w:type="spellStart"/>
      <w:r w:rsidRPr="0067406A">
        <w:rPr>
          <w:rFonts w:ascii="Cambria" w:eastAsiaTheme="majorEastAsia" w:hAnsi="Cambria" w:cstheme="majorBidi"/>
        </w:rPr>
        <w:t>Tomasini</w:t>
      </w:r>
      <w:proofErr w:type="spellEnd"/>
      <w:r w:rsidRPr="0067406A">
        <w:rPr>
          <w:rFonts w:ascii="Cambria" w:eastAsiaTheme="majorEastAsia" w:hAnsi="Cambria" w:cstheme="majorBidi"/>
        </w:rPr>
        <w:t>, ‘Bar-coded children: an exploration of</w:t>
      </w:r>
      <w:r w:rsidRPr="0067406A">
        <w:rPr>
          <w:rFonts w:ascii="Cambria" w:eastAsiaTheme="majorEastAsia" w:hAnsi="Cambria" w:cstheme="majorBidi"/>
          <w:i/>
          <w:iCs/>
        </w:rPr>
        <w:t xml:space="preserve"> </w:t>
      </w:r>
      <w:r w:rsidRPr="0067406A">
        <w:rPr>
          <w:rFonts w:ascii="Cambria" w:eastAsiaTheme="majorEastAsia" w:hAnsi="Cambria" w:cstheme="majorBidi"/>
        </w:rPr>
        <w:t xml:space="preserve">issues around the inclusion of children on the England and Wales national DNA database’ (2006) 2(1) </w:t>
      </w:r>
      <w:r w:rsidRPr="0067406A">
        <w:rPr>
          <w:rFonts w:ascii="Cambria" w:eastAsiaTheme="majorEastAsia" w:hAnsi="Cambria" w:cstheme="majorBidi"/>
          <w:i/>
          <w:iCs/>
        </w:rPr>
        <w:t>Genomics, Society and Policy</w:t>
      </w:r>
      <w:r w:rsidRPr="0067406A">
        <w:rPr>
          <w:rFonts w:ascii="Cambria" w:eastAsiaTheme="majorEastAsia" w:hAnsi="Cambria" w:cstheme="majorBidi"/>
        </w:rPr>
        <w:t xml:space="preserve"> 41; Liz Campbell and Nessa Lynch, ‘Competing Paradigms? The Use of DNA Powers in Youth Justice’ (2012) 12(1) </w:t>
      </w:r>
      <w:r w:rsidRPr="0067406A">
        <w:rPr>
          <w:rFonts w:ascii="Cambria" w:eastAsiaTheme="majorEastAsia" w:hAnsi="Cambria" w:cstheme="majorBidi"/>
          <w:i/>
          <w:iCs/>
        </w:rPr>
        <w:t>Youth Justice</w:t>
      </w:r>
      <w:r w:rsidRPr="0067406A">
        <w:rPr>
          <w:rFonts w:ascii="Cambria" w:eastAsiaTheme="majorEastAsia" w:hAnsi="Cambria" w:cstheme="majorBidi"/>
        </w:rPr>
        <w:t xml:space="preserve"> 3.</w:t>
      </w:r>
    </w:p>
  </w:footnote>
  <w:footnote w:id="31">
    <w:p w14:paraId="3EA4A94B" w14:textId="726D440E"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 xml:space="preserve">(Qld) </w:t>
      </w:r>
      <w:proofErr w:type="spellStart"/>
      <w:r w:rsidRPr="0067406A">
        <w:rPr>
          <w:rFonts w:ascii="Cambria" w:eastAsiaTheme="majorEastAsia" w:hAnsi="Cambria" w:cstheme="majorBidi"/>
        </w:rPr>
        <w:t>sch</w:t>
      </w:r>
      <w:proofErr w:type="spellEnd"/>
      <w:r w:rsidRPr="0067406A">
        <w:rPr>
          <w:rFonts w:ascii="Cambria" w:eastAsiaTheme="majorEastAsia" w:hAnsi="Cambria" w:cstheme="majorBidi"/>
        </w:rPr>
        <w:t xml:space="preserve"> 6.</w:t>
      </w:r>
    </w:p>
  </w:footnote>
  <w:footnote w:id="32">
    <w:p w14:paraId="5B98E97C" w14:textId="7C660CA9"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Ibid.</w:t>
      </w:r>
    </w:p>
  </w:footnote>
  <w:footnote w:id="33">
    <w:p w14:paraId="6828048A" w14:textId="1A3DE014" w:rsidR="00823EBF" w:rsidRPr="0067406A" w:rsidRDefault="00823EBF" w:rsidP="002D366D">
      <w:pPr>
        <w:tabs>
          <w:tab w:val="left" w:pos="200"/>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 xml:space="preserve">Police Powers and Responsibilities Act 2000 </w:t>
      </w:r>
      <w:r w:rsidRPr="0067406A">
        <w:rPr>
          <w:rFonts w:ascii="Cambria" w:eastAsiaTheme="majorEastAsia" w:hAnsi="Cambria" w:cstheme="majorBidi"/>
          <w:sz w:val="20"/>
          <w:szCs w:val="20"/>
        </w:rPr>
        <w:t>(Qld), s 450(4).</w:t>
      </w:r>
    </w:p>
  </w:footnote>
  <w:footnote w:id="34">
    <w:p w14:paraId="56186187" w14:textId="658EB12D" w:rsidR="00823EBF" w:rsidRPr="0047622D" w:rsidRDefault="00823EBF" w:rsidP="0047622D">
      <w:pPr>
        <w:tabs>
          <w:tab w:val="left" w:pos="202"/>
        </w:tabs>
        <w:spacing w:after="0" w:line="240" w:lineRule="auto"/>
        <w:jc w:val="both"/>
        <w:rPr>
          <w:rFonts w:ascii="Cambria" w:eastAsiaTheme="majorEastAsia" w:hAnsi="Cambria" w:cstheme="majorBidi"/>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0067406A" w:rsidRPr="0067406A">
        <w:rPr>
          <w:rFonts w:ascii="Cambria" w:eastAsiaTheme="majorEastAsia" w:hAnsi="Cambria" w:cstheme="majorBidi"/>
          <w:i/>
          <w:iCs/>
          <w:sz w:val="20"/>
          <w:szCs w:val="20"/>
        </w:rPr>
        <w:t xml:space="preserve">Convention on the Rights of the Child, </w:t>
      </w:r>
      <w:r w:rsidR="0067406A" w:rsidRPr="0067406A">
        <w:rPr>
          <w:rFonts w:ascii="Cambria" w:eastAsiaTheme="majorEastAsia" w:hAnsi="Cambria" w:cstheme="majorBidi"/>
          <w:iCs/>
          <w:sz w:val="20"/>
          <w:szCs w:val="20"/>
        </w:rPr>
        <w:t>o</w:t>
      </w:r>
      <w:r w:rsidR="0067406A" w:rsidRPr="0067406A">
        <w:rPr>
          <w:rFonts w:ascii="Cambria" w:eastAsiaTheme="majorEastAsia" w:hAnsi="Cambria" w:cstheme="majorBidi"/>
          <w:sz w:val="20"/>
          <w:szCs w:val="20"/>
        </w:rPr>
        <w:t xml:space="preserve">pened for signature 20 November 1989, 1577 UNTS 3 (entered into force 2 September 1990) </w:t>
      </w:r>
      <w:r w:rsidRPr="0067406A">
        <w:rPr>
          <w:rFonts w:ascii="Cambria" w:eastAsiaTheme="majorEastAsia" w:hAnsi="Cambria" w:cstheme="majorBidi"/>
          <w:sz w:val="20"/>
          <w:szCs w:val="20"/>
        </w:rPr>
        <w:t>art 40.</w:t>
      </w:r>
    </w:p>
  </w:footnote>
  <w:footnote w:id="35">
    <w:p w14:paraId="41B1CFA2" w14:textId="2E2FF1A0"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0067406A" w:rsidRPr="00A120F3">
        <w:rPr>
          <w:rFonts w:ascii="Cambria" w:eastAsiaTheme="majorEastAsia" w:hAnsi="Cambria" w:cstheme="majorBidi"/>
        </w:rPr>
        <w:t xml:space="preserve">United Nations General Assembly, </w:t>
      </w:r>
      <w:r w:rsidR="0067406A" w:rsidRPr="00A120F3">
        <w:rPr>
          <w:rFonts w:ascii="Cambria" w:eastAsiaTheme="majorEastAsia" w:hAnsi="Cambria" w:cstheme="majorBidi"/>
          <w:i/>
          <w:iCs/>
        </w:rPr>
        <w:t>United Nations Standard Minimum Rules for the Administration of Juvenile Justice</w:t>
      </w:r>
      <w:r w:rsidR="0067406A" w:rsidRPr="00A120F3">
        <w:rPr>
          <w:rFonts w:ascii="Cambria" w:eastAsiaTheme="majorEastAsia" w:hAnsi="Cambria" w:cstheme="majorBidi"/>
        </w:rPr>
        <w:t xml:space="preserve"> </w:t>
      </w:r>
      <w:r w:rsidR="0067406A" w:rsidRPr="00A120F3">
        <w:rPr>
          <w:rFonts w:ascii="Cambria" w:eastAsiaTheme="majorEastAsia" w:hAnsi="Cambria" w:cstheme="majorBidi"/>
          <w:i/>
          <w:iCs/>
        </w:rPr>
        <w:t>(“The Beijing Rules”),</w:t>
      </w:r>
      <w:r w:rsidR="0067406A" w:rsidRPr="00A120F3">
        <w:rPr>
          <w:rFonts w:ascii="Cambria" w:eastAsiaTheme="majorEastAsia" w:hAnsi="Cambria" w:cstheme="majorBidi"/>
          <w:iCs/>
        </w:rPr>
        <w:t xml:space="preserve"> GA Res 40/33, UN GAOR,</w:t>
      </w:r>
      <w:r w:rsidR="0067406A" w:rsidRPr="00A120F3">
        <w:rPr>
          <w:rFonts w:ascii="Cambria" w:eastAsiaTheme="majorEastAsia" w:hAnsi="Cambria" w:cstheme="majorBidi"/>
          <w:i/>
          <w:iCs/>
        </w:rPr>
        <w:t xml:space="preserve"> </w:t>
      </w:r>
      <w:r w:rsidR="0067406A" w:rsidRPr="00A120F3">
        <w:rPr>
          <w:rFonts w:ascii="Cambria" w:eastAsiaTheme="majorEastAsia" w:hAnsi="Cambria" w:cstheme="majorBidi"/>
          <w:iCs/>
        </w:rPr>
        <w:t>40</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sess</w:t>
      </w:r>
      <w:proofErr w:type="spellEnd"/>
      <w:r w:rsidR="0067406A" w:rsidRPr="00A120F3">
        <w:rPr>
          <w:rFonts w:ascii="Cambria" w:eastAsiaTheme="majorEastAsia" w:hAnsi="Cambria" w:cstheme="majorBidi"/>
          <w:iCs/>
        </w:rPr>
        <w:t>, 96</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plen</w:t>
      </w:r>
      <w:proofErr w:type="spellEnd"/>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mtg</w:t>
      </w:r>
      <w:proofErr w:type="spellEnd"/>
      <w:r w:rsidR="0067406A" w:rsidRPr="00A120F3">
        <w:rPr>
          <w:rFonts w:ascii="Cambria" w:eastAsiaTheme="majorEastAsia" w:hAnsi="Cambria" w:cstheme="majorBidi"/>
          <w:iCs/>
        </w:rPr>
        <w:t>, UN Doc A/RES/40/33 (adopted 29 November 1985)</w:t>
      </w:r>
      <w:r w:rsidR="0067406A">
        <w:rPr>
          <w:rFonts w:ascii="Cambria" w:eastAsiaTheme="majorEastAsia" w:hAnsi="Cambria" w:cstheme="majorBidi"/>
        </w:rPr>
        <w:t>.</w:t>
      </w:r>
    </w:p>
  </w:footnote>
  <w:footnote w:id="36">
    <w:p w14:paraId="7E2835E4" w14:textId="3D2261B0"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(Qld), s 450(4).</w:t>
      </w:r>
    </w:p>
  </w:footnote>
  <w:footnote w:id="37">
    <w:p w14:paraId="3D966AFD" w14:textId="440D9FF7"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Ibid s 453(1), s 454.</w:t>
      </w:r>
    </w:p>
  </w:footnote>
  <w:footnote w:id="38">
    <w:p w14:paraId="4C7B2E70" w14:textId="50656875"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Ibid, s 455(2).</w:t>
      </w:r>
    </w:p>
  </w:footnote>
  <w:footnote w:id="39">
    <w:p w14:paraId="2F6B784D" w14:textId="08768E0B"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Ibid s 458(1).</w:t>
      </w:r>
    </w:p>
  </w:footnote>
  <w:footnote w:id="40">
    <w:p w14:paraId="252C8A2D" w14:textId="661C9969" w:rsidR="00823EBF" w:rsidRPr="0067406A" w:rsidRDefault="00823EBF" w:rsidP="002D366D">
      <w:pPr>
        <w:spacing w:after="0" w:line="240" w:lineRule="auto"/>
        <w:ind w:right="880"/>
        <w:rPr>
          <w:rFonts w:ascii="Cambria" w:eastAsiaTheme="majorEastAsia" w:hAnsi="Cambria" w:cstheme="majorBidi"/>
          <w:sz w:val="20"/>
          <w:szCs w:val="20"/>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Steve Ireland, ‘What Authority Should Police Have to Detain Suspects to Take Samples?’ (Paper presented at the DNA and Criminal Justice conference, Australian Institute of Criminology, 30-31, (30-31 October 1989) &lt;http://www.aic.gov.au/publications/previous%20series/proceedings/1-27/02.html&gt;, 81.</w:t>
      </w:r>
    </w:p>
  </w:footnote>
  <w:footnote w:id="41">
    <w:p w14:paraId="5536E3C5" w14:textId="025B178B" w:rsidR="00823EBF" w:rsidRPr="0047622D" w:rsidRDefault="00823EBF">
      <w:pPr>
        <w:pStyle w:val="FootnoteText"/>
        <w:rPr>
          <w:rFonts w:ascii="Cambria" w:hAnsi="Cambria"/>
          <w:lang w:val="en-US"/>
        </w:rPr>
      </w:pPr>
      <w:r w:rsidRPr="0047622D">
        <w:rPr>
          <w:rStyle w:val="FootnoteReference"/>
          <w:rFonts w:ascii="Cambria" w:hAnsi="Cambria"/>
        </w:rPr>
        <w:footnoteRef/>
      </w:r>
      <w:r w:rsidRPr="0047622D">
        <w:rPr>
          <w:rFonts w:ascii="Cambria" w:hAnsi="Cambria"/>
        </w:rPr>
        <w:t xml:space="preserve"> </w:t>
      </w:r>
      <w:r w:rsidRPr="0047622D">
        <w:rPr>
          <w:rFonts w:ascii="Cambria" w:hAnsi="Cambria"/>
          <w:lang w:val="en-US"/>
        </w:rPr>
        <w:t xml:space="preserve">S488(4)(a)(b) govern the taking of DNA evidence from a child. </w:t>
      </w:r>
    </w:p>
  </w:footnote>
  <w:footnote w:id="42">
    <w:p w14:paraId="38BDAD00" w14:textId="72363732"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0067406A" w:rsidRPr="00A120F3">
        <w:rPr>
          <w:rFonts w:ascii="Cambria" w:eastAsiaTheme="majorEastAsia" w:hAnsi="Cambria" w:cstheme="majorBidi"/>
        </w:rPr>
        <w:t xml:space="preserve">United Nations General Assembly, </w:t>
      </w:r>
      <w:r w:rsidR="0067406A" w:rsidRPr="00A120F3">
        <w:rPr>
          <w:rFonts w:ascii="Cambria" w:eastAsiaTheme="majorEastAsia" w:hAnsi="Cambria" w:cstheme="majorBidi"/>
          <w:i/>
          <w:iCs/>
        </w:rPr>
        <w:t>United Nations Standard Minimum Rules for the Administration of Juvenile Justice</w:t>
      </w:r>
      <w:r w:rsidR="0067406A" w:rsidRPr="00A120F3">
        <w:rPr>
          <w:rFonts w:ascii="Cambria" w:eastAsiaTheme="majorEastAsia" w:hAnsi="Cambria" w:cstheme="majorBidi"/>
        </w:rPr>
        <w:t xml:space="preserve"> </w:t>
      </w:r>
      <w:r w:rsidR="0067406A" w:rsidRPr="00A120F3">
        <w:rPr>
          <w:rFonts w:ascii="Cambria" w:eastAsiaTheme="majorEastAsia" w:hAnsi="Cambria" w:cstheme="majorBidi"/>
          <w:i/>
          <w:iCs/>
        </w:rPr>
        <w:t>(“The Beijing Rules”),</w:t>
      </w:r>
      <w:r w:rsidR="0067406A" w:rsidRPr="00A120F3">
        <w:rPr>
          <w:rFonts w:ascii="Cambria" w:eastAsiaTheme="majorEastAsia" w:hAnsi="Cambria" w:cstheme="majorBidi"/>
          <w:iCs/>
        </w:rPr>
        <w:t xml:space="preserve"> GA Res 40/33, UN GAOR,</w:t>
      </w:r>
      <w:r w:rsidR="0067406A" w:rsidRPr="00A120F3">
        <w:rPr>
          <w:rFonts w:ascii="Cambria" w:eastAsiaTheme="majorEastAsia" w:hAnsi="Cambria" w:cstheme="majorBidi"/>
          <w:i/>
          <w:iCs/>
        </w:rPr>
        <w:t xml:space="preserve"> </w:t>
      </w:r>
      <w:r w:rsidR="0067406A" w:rsidRPr="00A120F3">
        <w:rPr>
          <w:rFonts w:ascii="Cambria" w:eastAsiaTheme="majorEastAsia" w:hAnsi="Cambria" w:cstheme="majorBidi"/>
          <w:iCs/>
        </w:rPr>
        <w:t>40</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sess</w:t>
      </w:r>
      <w:proofErr w:type="spellEnd"/>
      <w:r w:rsidR="0067406A" w:rsidRPr="00A120F3">
        <w:rPr>
          <w:rFonts w:ascii="Cambria" w:eastAsiaTheme="majorEastAsia" w:hAnsi="Cambria" w:cstheme="majorBidi"/>
          <w:iCs/>
        </w:rPr>
        <w:t>, 96</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plen</w:t>
      </w:r>
      <w:proofErr w:type="spellEnd"/>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mtg</w:t>
      </w:r>
      <w:proofErr w:type="spellEnd"/>
      <w:r w:rsidR="0067406A" w:rsidRPr="00A120F3">
        <w:rPr>
          <w:rFonts w:ascii="Cambria" w:eastAsiaTheme="majorEastAsia" w:hAnsi="Cambria" w:cstheme="majorBidi"/>
          <w:iCs/>
        </w:rPr>
        <w:t>, UN Doc A/RES/40/33 (adopted 29 November 1985)</w:t>
      </w:r>
      <w:r w:rsidR="0067406A">
        <w:rPr>
          <w:rFonts w:ascii="Cambria" w:eastAsiaTheme="majorEastAsia" w:hAnsi="Cambria" w:cstheme="majorBidi"/>
        </w:rPr>
        <w:t>.</w:t>
      </w:r>
    </w:p>
  </w:footnote>
  <w:footnote w:id="43">
    <w:p w14:paraId="5FA2ABDE" w14:textId="6D3DC6F3"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(Qld), s 488(7)(b).</w:t>
      </w:r>
    </w:p>
  </w:footnote>
  <w:footnote w:id="44">
    <w:p w14:paraId="2B0F134D" w14:textId="77777777" w:rsidR="00823EBF" w:rsidRPr="0067406A" w:rsidRDefault="00823EBF" w:rsidP="002D366D">
      <w:pPr>
        <w:tabs>
          <w:tab w:val="left" w:pos="202"/>
        </w:tabs>
        <w:spacing w:after="0" w:line="240" w:lineRule="auto"/>
        <w:ind w:right="220"/>
        <w:jc w:val="both"/>
        <w:rPr>
          <w:rFonts w:ascii="Cambria" w:eastAsiaTheme="majorEastAsia" w:hAnsi="Cambria" w:cstheme="majorBidi"/>
          <w:sz w:val="20"/>
          <w:szCs w:val="20"/>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Ian </w:t>
      </w:r>
      <w:proofErr w:type="spellStart"/>
      <w:r w:rsidRPr="0067406A">
        <w:rPr>
          <w:rFonts w:ascii="Cambria" w:eastAsiaTheme="majorEastAsia" w:hAnsi="Cambria" w:cstheme="majorBidi"/>
          <w:sz w:val="20"/>
          <w:szCs w:val="20"/>
        </w:rPr>
        <w:t>Freckelton</w:t>
      </w:r>
      <w:proofErr w:type="spellEnd"/>
      <w:r w:rsidRPr="0067406A">
        <w:rPr>
          <w:rFonts w:ascii="Cambria" w:eastAsiaTheme="majorEastAsia" w:hAnsi="Cambria" w:cstheme="majorBidi"/>
          <w:sz w:val="20"/>
          <w:szCs w:val="20"/>
        </w:rPr>
        <w:t xml:space="preserve">, ‘DNA Profiling: Forensic Science Under the Microscope’, (Paper presented at the DNA and Criminal Justice conference, Australian Institute of Criminology, (30-31 October 1989) </w:t>
      </w:r>
    </w:p>
    <w:p w14:paraId="7EA85FCD" w14:textId="24F07087" w:rsidR="00823EBF" w:rsidRPr="0067406A" w:rsidRDefault="00823EBF" w:rsidP="002D366D">
      <w:pPr>
        <w:tabs>
          <w:tab w:val="left" w:pos="202"/>
        </w:tabs>
        <w:spacing w:after="0" w:line="240" w:lineRule="auto"/>
        <w:ind w:right="220"/>
        <w:jc w:val="both"/>
        <w:rPr>
          <w:rFonts w:ascii="Cambria" w:eastAsiaTheme="majorEastAsia" w:hAnsi="Cambria" w:cstheme="majorBidi"/>
          <w:sz w:val="20"/>
          <w:szCs w:val="20"/>
          <w:vertAlign w:val="superscript"/>
        </w:rPr>
      </w:pPr>
      <w:r w:rsidRPr="0067406A">
        <w:rPr>
          <w:rFonts w:ascii="Cambria" w:eastAsiaTheme="majorEastAsia" w:hAnsi="Cambria" w:cstheme="majorBidi"/>
          <w:sz w:val="20"/>
          <w:szCs w:val="20"/>
        </w:rPr>
        <w:t>&lt;http://www.aic.gov.au/publications/previous%20series/proceedings/1-27/02.html&gt;, 31.</w:t>
      </w:r>
    </w:p>
  </w:footnote>
  <w:footnote w:id="45">
    <w:p w14:paraId="36CA1687" w14:textId="7A2F5FFA"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(Qld), s 450-452.</w:t>
      </w:r>
    </w:p>
  </w:footnote>
  <w:footnote w:id="46">
    <w:p w14:paraId="0092FA42" w14:textId="3219F639"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Butt, above n 12, 61.</w:t>
      </w:r>
    </w:p>
  </w:footnote>
  <w:footnote w:id="47">
    <w:p w14:paraId="21976A47" w14:textId="7C6D5A4F" w:rsidR="00823EBF" w:rsidRPr="0067406A" w:rsidRDefault="00823EBF" w:rsidP="003F36F1">
      <w:pPr>
        <w:pStyle w:val="FootnoteText"/>
        <w:rPr>
          <w:rFonts w:ascii="Cambria" w:eastAsiaTheme="majorEastAsia" w:hAnsi="Cambria" w:cstheme="majorBidi"/>
        </w:rPr>
      </w:pPr>
      <w:r w:rsidRPr="003018DA">
        <w:rPr>
          <w:rStyle w:val="FootnoteReference"/>
          <w:rFonts w:ascii="Cambria" w:eastAsiaTheme="majorEastAsia" w:hAnsi="Cambria" w:cstheme="majorBidi"/>
        </w:rPr>
        <w:footnoteRef/>
      </w:r>
      <w:r w:rsidR="007A5271" w:rsidRPr="003018DA">
        <w:rPr>
          <w:rFonts w:ascii="Cambria" w:eastAsiaTheme="majorEastAsia" w:hAnsi="Cambria" w:cstheme="majorBidi"/>
        </w:rPr>
        <w:t xml:space="preserve"> John Muncie, </w:t>
      </w:r>
      <w:r w:rsidR="007A5271" w:rsidRPr="003018DA">
        <w:rPr>
          <w:rFonts w:ascii="Cambria" w:eastAsiaTheme="majorEastAsia" w:hAnsi="Cambria" w:cstheme="majorBidi"/>
          <w:i/>
        </w:rPr>
        <w:t>Youth Crime</w:t>
      </w:r>
      <w:r w:rsidR="007A5271" w:rsidRPr="003018DA">
        <w:rPr>
          <w:rFonts w:ascii="Cambria" w:eastAsiaTheme="majorEastAsia" w:hAnsi="Cambria" w:cstheme="majorBidi"/>
        </w:rPr>
        <w:t xml:space="preserve"> (Sage Publications, 3</w:t>
      </w:r>
      <w:r w:rsidR="007A5271" w:rsidRPr="003018DA">
        <w:rPr>
          <w:rFonts w:ascii="Cambria" w:eastAsiaTheme="majorEastAsia" w:hAnsi="Cambria" w:cstheme="majorBidi"/>
          <w:vertAlign w:val="superscript"/>
        </w:rPr>
        <w:t>rd</w:t>
      </w:r>
      <w:r w:rsidR="007A5271" w:rsidRPr="003018DA">
        <w:rPr>
          <w:rFonts w:ascii="Cambria" w:eastAsiaTheme="majorEastAsia" w:hAnsi="Cambria" w:cstheme="majorBidi"/>
        </w:rPr>
        <w:t xml:space="preserve"> </w:t>
      </w:r>
      <w:proofErr w:type="spellStart"/>
      <w:r w:rsidR="007A5271" w:rsidRPr="003018DA">
        <w:rPr>
          <w:rFonts w:ascii="Cambria" w:eastAsiaTheme="majorEastAsia" w:hAnsi="Cambria" w:cstheme="majorBidi"/>
        </w:rPr>
        <w:t>ed</w:t>
      </w:r>
      <w:proofErr w:type="spellEnd"/>
      <w:r w:rsidR="007A5271" w:rsidRPr="003018DA">
        <w:rPr>
          <w:rFonts w:ascii="Cambria" w:eastAsiaTheme="majorEastAsia" w:hAnsi="Cambria" w:cstheme="majorBidi"/>
        </w:rPr>
        <w:t>, 2009), 395</w:t>
      </w:r>
      <w:r w:rsidRPr="003018DA">
        <w:rPr>
          <w:rFonts w:ascii="Cambria" w:eastAsiaTheme="majorEastAsia" w:hAnsi="Cambria" w:cstheme="majorBidi"/>
        </w:rPr>
        <w:t>.</w:t>
      </w:r>
    </w:p>
  </w:footnote>
  <w:footnote w:id="48">
    <w:p w14:paraId="48D4F764" w14:textId="76063902"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 xml:space="preserve">(Qld), </w:t>
      </w:r>
      <w:proofErr w:type="spellStart"/>
      <w:r w:rsidRPr="0067406A">
        <w:rPr>
          <w:rFonts w:ascii="Cambria" w:eastAsiaTheme="majorEastAsia" w:hAnsi="Cambria" w:cstheme="majorBidi"/>
        </w:rPr>
        <w:t>sch</w:t>
      </w:r>
      <w:proofErr w:type="spellEnd"/>
      <w:r w:rsidRPr="0067406A">
        <w:rPr>
          <w:rFonts w:ascii="Cambria" w:eastAsiaTheme="majorEastAsia" w:hAnsi="Cambria" w:cstheme="majorBidi"/>
        </w:rPr>
        <w:t xml:space="preserve"> 6.</w:t>
      </w:r>
    </w:p>
  </w:footnote>
  <w:footnote w:id="49">
    <w:p w14:paraId="011241E7" w14:textId="2907AD45" w:rsidR="00823EBF" w:rsidRPr="0067406A" w:rsidRDefault="00823EBF" w:rsidP="002D366D">
      <w:pPr>
        <w:tabs>
          <w:tab w:val="left" w:pos="200"/>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Levitt and </w:t>
      </w:r>
      <w:proofErr w:type="spellStart"/>
      <w:r w:rsidRPr="0067406A">
        <w:rPr>
          <w:rFonts w:ascii="Cambria" w:eastAsiaTheme="majorEastAsia" w:hAnsi="Cambria" w:cstheme="majorBidi"/>
          <w:sz w:val="20"/>
          <w:szCs w:val="20"/>
        </w:rPr>
        <w:t>Tomasini</w:t>
      </w:r>
      <w:proofErr w:type="spellEnd"/>
      <w:r w:rsidRPr="0067406A">
        <w:rPr>
          <w:rFonts w:ascii="Cambria" w:eastAsiaTheme="majorEastAsia" w:hAnsi="Cambria" w:cstheme="majorBidi"/>
          <w:sz w:val="20"/>
          <w:szCs w:val="20"/>
        </w:rPr>
        <w:t>, above n 28, 51.</w:t>
      </w:r>
    </w:p>
  </w:footnote>
  <w:footnote w:id="50">
    <w:p w14:paraId="3476E448" w14:textId="53E42FD9"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Ibid 54.</w:t>
      </w:r>
    </w:p>
  </w:footnote>
  <w:footnote w:id="51">
    <w:p w14:paraId="50205BD3" w14:textId="0484CC01" w:rsidR="00823EBF" w:rsidRPr="0067406A" w:rsidRDefault="00823EBF" w:rsidP="002D366D">
      <w:pPr>
        <w:tabs>
          <w:tab w:val="left" w:pos="202"/>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Charlotte Walsh, ‘Youth justice and neuroscience: a dual use dilemma’ (2011) 51(1) </w:t>
      </w:r>
      <w:r w:rsidRPr="0067406A">
        <w:rPr>
          <w:rFonts w:ascii="Cambria" w:eastAsiaTheme="majorEastAsia" w:hAnsi="Cambria" w:cstheme="majorBidi"/>
          <w:i/>
          <w:iCs/>
          <w:sz w:val="20"/>
          <w:szCs w:val="20"/>
        </w:rPr>
        <w:t>British Journal of</w:t>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 xml:space="preserve">Criminology </w:t>
      </w:r>
      <w:r w:rsidRPr="0067406A">
        <w:rPr>
          <w:rFonts w:ascii="Cambria" w:eastAsiaTheme="majorEastAsia" w:hAnsi="Cambria" w:cstheme="majorBidi"/>
          <w:sz w:val="20"/>
          <w:szCs w:val="20"/>
        </w:rPr>
        <w:t>21.</w:t>
      </w:r>
    </w:p>
  </w:footnote>
  <w:footnote w:id="52">
    <w:p w14:paraId="19859A59" w14:textId="3719AC28" w:rsidR="00823EBF" w:rsidRPr="0067406A" w:rsidRDefault="00823EBF" w:rsidP="002D366D">
      <w:pPr>
        <w:tabs>
          <w:tab w:val="left" w:pos="200"/>
        </w:tabs>
        <w:spacing w:after="0" w:line="240" w:lineRule="auto"/>
        <w:jc w:val="both"/>
        <w:rPr>
          <w:rFonts w:ascii="Cambria" w:eastAsiaTheme="majorEastAsia" w:hAnsi="Cambria" w:cstheme="majorBidi"/>
          <w:sz w:val="20"/>
          <w:szCs w:val="20"/>
          <w:vertAlign w:val="superscript"/>
        </w:rPr>
      </w:pPr>
      <w:r w:rsidRPr="0047622D">
        <w:rPr>
          <w:rStyle w:val="FootnoteReference"/>
          <w:rFonts w:ascii="Cambria" w:eastAsiaTheme="majorEastAsia" w:hAnsi="Cambria" w:cstheme="majorBidi"/>
          <w:sz w:val="20"/>
          <w:szCs w:val="20"/>
        </w:rPr>
        <w:footnoteRef/>
      </w:r>
      <w:r w:rsidRPr="0047622D">
        <w:rPr>
          <w:rFonts w:ascii="Cambria" w:eastAsiaTheme="majorEastAsia" w:hAnsi="Cambria" w:cstheme="majorBidi"/>
          <w:sz w:val="20"/>
          <w:szCs w:val="20"/>
        </w:rPr>
        <w:t xml:space="preserve"> </w:t>
      </w:r>
      <w:r w:rsidRPr="0067406A">
        <w:rPr>
          <w:rFonts w:ascii="Cambria" w:eastAsiaTheme="majorEastAsia" w:hAnsi="Cambria" w:cstheme="majorBidi"/>
          <w:sz w:val="20"/>
          <w:szCs w:val="20"/>
        </w:rPr>
        <w:t>Wallace, above n 4, 30.</w:t>
      </w:r>
    </w:p>
  </w:footnote>
  <w:footnote w:id="53">
    <w:p w14:paraId="357EFF68" w14:textId="4CF47893" w:rsidR="00823EBF" w:rsidRPr="0067406A" w:rsidRDefault="00823EBF" w:rsidP="002D366D">
      <w:pPr>
        <w:tabs>
          <w:tab w:val="left" w:pos="202"/>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Nicholas Abercrombie, Stephen Hill and Bryan Turner, </w:t>
      </w:r>
      <w:r w:rsidR="0067406A">
        <w:rPr>
          <w:rFonts w:ascii="Cambria" w:eastAsiaTheme="majorEastAsia" w:hAnsi="Cambria" w:cstheme="majorBidi"/>
          <w:i/>
          <w:sz w:val="20"/>
          <w:szCs w:val="20"/>
        </w:rPr>
        <w:t xml:space="preserve">The Penguin </w:t>
      </w:r>
      <w:r w:rsidRPr="0067406A">
        <w:rPr>
          <w:rFonts w:ascii="Cambria" w:eastAsiaTheme="majorEastAsia" w:hAnsi="Cambria" w:cstheme="majorBidi"/>
          <w:i/>
          <w:iCs/>
          <w:sz w:val="20"/>
          <w:szCs w:val="20"/>
        </w:rPr>
        <w:t>Dictionary of Sociology</w:t>
      </w:r>
      <w:r w:rsidRPr="0067406A">
        <w:rPr>
          <w:rFonts w:ascii="Cambria" w:eastAsiaTheme="majorEastAsia" w:hAnsi="Cambria" w:cstheme="majorBidi"/>
          <w:sz w:val="20"/>
          <w:szCs w:val="20"/>
        </w:rPr>
        <w:t xml:space="preserve"> (Penguin Group Publishing, 5</w:t>
      </w:r>
      <w:r w:rsidRPr="0067406A">
        <w:rPr>
          <w:rFonts w:ascii="Cambria" w:eastAsiaTheme="majorEastAsia" w:hAnsi="Cambria" w:cstheme="majorBidi"/>
          <w:sz w:val="20"/>
          <w:szCs w:val="20"/>
          <w:vertAlign w:val="superscript"/>
        </w:rPr>
        <w:t>th</w:t>
      </w:r>
      <w:r w:rsidRPr="0067406A">
        <w:rPr>
          <w:rFonts w:ascii="Cambria" w:eastAsiaTheme="majorEastAsia" w:hAnsi="Cambria" w:cstheme="majorBidi"/>
          <w:sz w:val="20"/>
          <w:szCs w:val="20"/>
        </w:rPr>
        <w:t xml:space="preserve"> </w:t>
      </w:r>
      <w:proofErr w:type="spellStart"/>
      <w:r w:rsidRPr="0067406A">
        <w:rPr>
          <w:rFonts w:ascii="Cambria" w:eastAsiaTheme="majorEastAsia" w:hAnsi="Cambria" w:cstheme="majorBidi"/>
          <w:sz w:val="20"/>
          <w:szCs w:val="20"/>
        </w:rPr>
        <w:t>ed</w:t>
      </w:r>
      <w:proofErr w:type="spellEnd"/>
      <w:r w:rsidRPr="0067406A">
        <w:rPr>
          <w:rFonts w:ascii="Cambria" w:eastAsiaTheme="majorEastAsia" w:hAnsi="Cambria" w:cstheme="majorBidi"/>
          <w:sz w:val="20"/>
          <w:szCs w:val="20"/>
        </w:rPr>
        <w:t>, 2006).</w:t>
      </w:r>
    </w:p>
  </w:footnote>
  <w:footnote w:id="54">
    <w:p w14:paraId="5F6261C1" w14:textId="77777777" w:rsidR="00823EBF" w:rsidRPr="0067406A" w:rsidRDefault="00823EBF" w:rsidP="00157464">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Sarah </w:t>
      </w:r>
      <w:proofErr w:type="spellStart"/>
      <w:r w:rsidRPr="0067406A">
        <w:rPr>
          <w:rFonts w:ascii="Cambria" w:eastAsiaTheme="majorEastAsia" w:hAnsi="Cambria" w:cstheme="majorBidi"/>
        </w:rPr>
        <w:t>Vogler</w:t>
      </w:r>
      <w:proofErr w:type="spellEnd"/>
      <w:r w:rsidRPr="0067406A">
        <w:rPr>
          <w:rFonts w:ascii="Cambria" w:eastAsiaTheme="majorEastAsia" w:hAnsi="Cambria" w:cstheme="majorBidi"/>
        </w:rPr>
        <w:t xml:space="preserve">, ‘DNA Tag for Kid Crims’, </w:t>
      </w:r>
      <w:r w:rsidRPr="0067406A">
        <w:rPr>
          <w:rFonts w:ascii="Cambria" w:eastAsiaTheme="majorEastAsia" w:hAnsi="Cambria" w:cstheme="majorBidi"/>
          <w:i/>
          <w:iCs/>
        </w:rPr>
        <w:t>The Sunday Mail</w:t>
      </w:r>
      <w:r w:rsidRPr="0067406A">
        <w:rPr>
          <w:rFonts w:ascii="Cambria" w:eastAsiaTheme="majorEastAsia" w:hAnsi="Cambria" w:cstheme="majorBidi"/>
        </w:rPr>
        <w:t xml:space="preserve"> (Australia)</w:t>
      </w:r>
      <w:r w:rsidRPr="0067406A">
        <w:rPr>
          <w:rFonts w:ascii="Cambria" w:eastAsiaTheme="majorEastAsia" w:hAnsi="Cambria" w:cstheme="majorBidi"/>
          <w:i/>
          <w:iCs/>
        </w:rPr>
        <w:t>,</w:t>
      </w:r>
      <w:r w:rsidRPr="0067406A">
        <w:rPr>
          <w:rFonts w:ascii="Cambria" w:eastAsiaTheme="majorEastAsia" w:hAnsi="Cambria" w:cstheme="majorBidi"/>
        </w:rPr>
        <w:t xml:space="preserve"> 10 January 2010, 1.</w:t>
      </w:r>
    </w:p>
  </w:footnote>
  <w:footnote w:id="55">
    <w:p w14:paraId="790C8B49" w14:textId="2965412E" w:rsidR="00823EBF" w:rsidRPr="0047622D" w:rsidRDefault="00823EBF" w:rsidP="00157464">
      <w:pPr>
        <w:tabs>
          <w:tab w:val="left" w:pos="202"/>
        </w:tabs>
        <w:spacing w:after="0" w:line="240" w:lineRule="auto"/>
        <w:ind w:right="700"/>
        <w:jc w:val="both"/>
        <w:rPr>
          <w:rFonts w:ascii="Cambria" w:hAnsi="Cambria"/>
          <w:color w:val="000000" w:themeColor="text1"/>
          <w:sz w:val="20"/>
          <w:szCs w:val="20"/>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0067406A" w:rsidRPr="00A120F3">
        <w:rPr>
          <w:rFonts w:ascii="Cambria" w:eastAsiaTheme="majorEastAsia" w:hAnsi="Cambria" w:cstheme="majorBidi"/>
          <w:i/>
          <w:iCs/>
          <w:sz w:val="20"/>
          <w:szCs w:val="20"/>
        </w:rPr>
        <w:t xml:space="preserve">International </w:t>
      </w:r>
      <w:proofErr w:type="spellStart"/>
      <w:r w:rsidR="0067406A" w:rsidRPr="00A120F3">
        <w:rPr>
          <w:rFonts w:ascii="Cambria" w:eastAsiaTheme="majorEastAsia" w:hAnsi="Cambria" w:cstheme="majorBidi"/>
          <w:i/>
          <w:iCs/>
          <w:sz w:val="20"/>
          <w:szCs w:val="20"/>
        </w:rPr>
        <w:t>Convenant</w:t>
      </w:r>
      <w:proofErr w:type="spellEnd"/>
      <w:r w:rsidR="0067406A" w:rsidRPr="00A120F3">
        <w:rPr>
          <w:rFonts w:ascii="Cambria" w:eastAsiaTheme="majorEastAsia" w:hAnsi="Cambria" w:cstheme="majorBidi"/>
          <w:i/>
          <w:iCs/>
          <w:sz w:val="20"/>
          <w:szCs w:val="20"/>
        </w:rPr>
        <w:t xml:space="preserve"> on Civil and Political Rights, </w:t>
      </w:r>
      <w:r w:rsidR="0067406A" w:rsidRPr="00A120F3">
        <w:rPr>
          <w:rFonts w:ascii="Cambria" w:eastAsiaTheme="majorEastAsia" w:hAnsi="Cambria" w:cstheme="majorBidi"/>
          <w:iCs/>
          <w:sz w:val="20"/>
          <w:szCs w:val="20"/>
        </w:rPr>
        <w:t xml:space="preserve">opened for signature 16 December </w:t>
      </w:r>
      <w:proofErr w:type="gramStart"/>
      <w:r w:rsidR="0067406A" w:rsidRPr="00A120F3">
        <w:rPr>
          <w:rFonts w:ascii="Cambria" w:eastAsiaTheme="majorEastAsia" w:hAnsi="Cambria" w:cstheme="majorBidi"/>
          <w:iCs/>
          <w:sz w:val="20"/>
          <w:szCs w:val="20"/>
        </w:rPr>
        <w:t>1966,  999</w:t>
      </w:r>
      <w:proofErr w:type="gramEnd"/>
      <w:r w:rsidR="0067406A" w:rsidRPr="00A120F3">
        <w:rPr>
          <w:rFonts w:ascii="Cambria" w:eastAsiaTheme="majorEastAsia" w:hAnsi="Cambria" w:cstheme="majorBidi"/>
          <w:iCs/>
          <w:sz w:val="20"/>
          <w:szCs w:val="20"/>
        </w:rPr>
        <w:t xml:space="preserve"> UNTS 171 (entered into force 23 March 1976)</w:t>
      </w:r>
      <w:r w:rsidR="0067406A">
        <w:rPr>
          <w:rFonts w:ascii="Cambria" w:eastAsiaTheme="majorEastAsia" w:hAnsi="Cambria" w:cstheme="majorBidi"/>
          <w:sz w:val="20"/>
          <w:szCs w:val="20"/>
        </w:rPr>
        <w:t>.</w:t>
      </w:r>
    </w:p>
  </w:footnote>
  <w:footnote w:id="56">
    <w:p w14:paraId="714866A7" w14:textId="77777777" w:rsidR="00823EBF" w:rsidRPr="0067406A" w:rsidRDefault="00823EBF" w:rsidP="00157464">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(Qld), s 454(1)(g)(</w:t>
      </w:r>
      <w:proofErr w:type="spellStart"/>
      <w:r w:rsidRPr="0067406A">
        <w:rPr>
          <w:rFonts w:ascii="Cambria" w:eastAsiaTheme="majorEastAsia" w:hAnsi="Cambria" w:cstheme="majorBidi"/>
        </w:rPr>
        <w:t>i</w:t>
      </w:r>
      <w:proofErr w:type="spellEnd"/>
      <w:r w:rsidRPr="0067406A">
        <w:rPr>
          <w:rFonts w:ascii="Cambria" w:eastAsiaTheme="majorEastAsia" w:hAnsi="Cambria" w:cstheme="majorBidi"/>
        </w:rPr>
        <w:t>)-(ii).</w:t>
      </w:r>
    </w:p>
  </w:footnote>
  <w:footnote w:id="57">
    <w:p w14:paraId="01970DAE" w14:textId="77777777" w:rsidR="00823EBF" w:rsidRPr="0067406A" w:rsidRDefault="00823EBF" w:rsidP="00157464">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t>
      </w:r>
      <w:r w:rsidRPr="0067406A">
        <w:rPr>
          <w:rFonts w:ascii="Cambria" w:eastAsiaTheme="majorEastAsia" w:hAnsi="Cambria" w:cstheme="majorBidi"/>
          <w:iCs/>
        </w:rPr>
        <w:t>Ibid s 454.</w:t>
      </w:r>
    </w:p>
  </w:footnote>
  <w:footnote w:id="58">
    <w:p w14:paraId="1AF48D2D" w14:textId="77777777" w:rsidR="00823EBF" w:rsidRPr="0067406A" w:rsidRDefault="00823EBF" w:rsidP="00157464">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Jonathan </w:t>
      </w:r>
      <w:proofErr w:type="spellStart"/>
      <w:r w:rsidRPr="0067406A">
        <w:rPr>
          <w:rFonts w:ascii="Cambria" w:hAnsi="Cambria"/>
        </w:rPr>
        <w:t>Kimmelman</w:t>
      </w:r>
      <w:proofErr w:type="spellEnd"/>
      <w:r w:rsidRPr="0067406A">
        <w:rPr>
          <w:rFonts w:ascii="Cambria" w:hAnsi="Cambria"/>
        </w:rPr>
        <w:t xml:space="preserve">, ‘Risking Ethical Insolvency: A Survey of Trends in Criminal DNA </w:t>
      </w:r>
      <w:proofErr w:type="spellStart"/>
      <w:r w:rsidRPr="0067406A">
        <w:rPr>
          <w:rFonts w:ascii="Cambria" w:hAnsi="Cambria"/>
        </w:rPr>
        <w:t>Databanking</w:t>
      </w:r>
      <w:proofErr w:type="spellEnd"/>
      <w:r w:rsidRPr="0067406A">
        <w:rPr>
          <w:rFonts w:ascii="Cambria" w:hAnsi="Cambria"/>
        </w:rPr>
        <w:t xml:space="preserve">’ (2000) 28(3) </w:t>
      </w:r>
      <w:r w:rsidRPr="0067406A">
        <w:rPr>
          <w:rFonts w:ascii="Cambria" w:hAnsi="Cambria"/>
          <w:i/>
        </w:rPr>
        <w:t>Journal of Law, Medicine and Ethics</w:t>
      </w:r>
      <w:r w:rsidRPr="0067406A">
        <w:rPr>
          <w:rFonts w:ascii="Cambria" w:hAnsi="Cambria"/>
        </w:rPr>
        <w:t xml:space="preserve"> 209, 215.</w:t>
      </w:r>
    </w:p>
  </w:footnote>
  <w:footnote w:id="59">
    <w:p w14:paraId="5B339C1A" w14:textId="77777777" w:rsidR="00823EBF" w:rsidRPr="0067406A" w:rsidRDefault="00823EBF" w:rsidP="00ED5A08">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David Kaye, ‘Trawling DNA Databases for Partial Matches: What is the FBI Afraid Of?’ (2009) 19(1) </w:t>
      </w:r>
      <w:r w:rsidRPr="0067406A">
        <w:rPr>
          <w:rFonts w:ascii="Cambria" w:hAnsi="Cambria"/>
          <w:i/>
        </w:rPr>
        <w:t>Journal of Law and Public Policy</w:t>
      </w:r>
      <w:r w:rsidRPr="0067406A">
        <w:rPr>
          <w:rFonts w:ascii="Cambria" w:hAnsi="Cambria"/>
        </w:rPr>
        <w:t xml:space="preserve"> 145.</w:t>
      </w:r>
    </w:p>
  </w:footnote>
  <w:footnote w:id="60">
    <w:p w14:paraId="3FE43DE2" w14:textId="2C82394F" w:rsidR="00823EBF" w:rsidRPr="0067406A" w:rsidRDefault="00823EBF" w:rsidP="00157464">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0067406A" w:rsidRPr="00A120F3">
        <w:rPr>
          <w:rFonts w:ascii="Cambria" w:eastAsiaTheme="majorEastAsia" w:hAnsi="Cambria" w:cstheme="majorBidi"/>
        </w:rPr>
        <w:t xml:space="preserve">United Nations General Assembly, </w:t>
      </w:r>
      <w:r w:rsidR="0067406A" w:rsidRPr="00A120F3">
        <w:rPr>
          <w:rFonts w:ascii="Cambria" w:eastAsiaTheme="majorEastAsia" w:hAnsi="Cambria" w:cstheme="majorBidi"/>
          <w:i/>
          <w:iCs/>
        </w:rPr>
        <w:t>United Nations Standard Minimum Rules for the Administration of Juvenile Justice</w:t>
      </w:r>
      <w:r w:rsidR="0067406A" w:rsidRPr="00A120F3">
        <w:rPr>
          <w:rFonts w:ascii="Cambria" w:eastAsiaTheme="majorEastAsia" w:hAnsi="Cambria" w:cstheme="majorBidi"/>
        </w:rPr>
        <w:t xml:space="preserve"> </w:t>
      </w:r>
      <w:r w:rsidR="0067406A" w:rsidRPr="00A120F3">
        <w:rPr>
          <w:rFonts w:ascii="Cambria" w:eastAsiaTheme="majorEastAsia" w:hAnsi="Cambria" w:cstheme="majorBidi"/>
          <w:i/>
          <w:iCs/>
        </w:rPr>
        <w:t>(“The Beijing Rules”),</w:t>
      </w:r>
      <w:r w:rsidR="0067406A" w:rsidRPr="00A120F3">
        <w:rPr>
          <w:rFonts w:ascii="Cambria" w:eastAsiaTheme="majorEastAsia" w:hAnsi="Cambria" w:cstheme="majorBidi"/>
          <w:iCs/>
        </w:rPr>
        <w:t xml:space="preserve"> GA Res 40/33, UN GAOR,</w:t>
      </w:r>
      <w:r w:rsidR="0067406A" w:rsidRPr="00A120F3">
        <w:rPr>
          <w:rFonts w:ascii="Cambria" w:eastAsiaTheme="majorEastAsia" w:hAnsi="Cambria" w:cstheme="majorBidi"/>
          <w:i/>
          <w:iCs/>
        </w:rPr>
        <w:t xml:space="preserve"> </w:t>
      </w:r>
      <w:r w:rsidR="0067406A" w:rsidRPr="00A120F3">
        <w:rPr>
          <w:rFonts w:ascii="Cambria" w:eastAsiaTheme="majorEastAsia" w:hAnsi="Cambria" w:cstheme="majorBidi"/>
          <w:iCs/>
        </w:rPr>
        <w:t>40</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sess</w:t>
      </w:r>
      <w:proofErr w:type="spellEnd"/>
      <w:r w:rsidR="0067406A" w:rsidRPr="00A120F3">
        <w:rPr>
          <w:rFonts w:ascii="Cambria" w:eastAsiaTheme="majorEastAsia" w:hAnsi="Cambria" w:cstheme="majorBidi"/>
          <w:iCs/>
        </w:rPr>
        <w:t>, 96</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plen</w:t>
      </w:r>
      <w:proofErr w:type="spellEnd"/>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mtg</w:t>
      </w:r>
      <w:proofErr w:type="spellEnd"/>
      <w:r w:rsidR="0067406A" w:rsidRPr="00A120F3">
        <w:rPr>
          <w:rFonts w:ascii="Cambria" w:eastAsiaTheme="majorEastAsia" w:hAnsi="Cambria" w:cstheme="majorBidi"/>
          <w:iCs/>
        </w:rPr>
        <w:t>, UN Doc A/RES/40/33 (adopted 29 November 1985)</w:t>
      </w:r>
      <w:r w:rsidR="0067406A">
        <w:rPr>
          <w:rFonts w:ascii="Cambria" w:eastAsiaTheme="majorEastAsia" w:hAnsi="Cambria" w:cstheme="majorBidi"/>
        </w:rPr>
        <w:t>.</w:t>
      </w:r>
    </w:p>
  </w:footnote>
  <w:footnote w:id="61">
    <w:p w14:paraId="0CF99C32" w14:textId="2CFF4E32"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Pr="0067406A">
        <w:rPr>
          <w:rFonts w:ascii="Cambria" w:eastAsiaTheme="majorEastAsia" w:hAnsi="Cambria" w:cstheme="majorBidi"/>
          <w:i/>
          <w:iCs/>
        </w:rPr>
        <w:t xml:space="preserve">Police Powers and Responsibilities Act 2000 </w:t>
      </w:r>
      <w:r w:rsidRPr="0067406A">
        <w:rPr>
          <w:rFonts w:ascii="Cambria" w:eastAsiaTheme="majorEastAsia" w:hAnsi="Cambria" w:cstheme="majorBidi"/>
        </w:rPr>
        <w:t>(Qld), s 492(1)</w:t>
      </w:r>
    </w:p>
  </w:footnote>
  <w:footnote w:id="62">
    <w:p w14:paraId="5D0AE6AA" w14:textId="0C06B3EE" w:rsidR="00823EBF" w:rsidRPr="0067406A" w:rsidRDefault="00823EBF" w:rsidP="002D366D">
      <w:pPr>
        <w:tabs>
          <w:tab w:val="left" w:pos="202"/>
        </w:tabs>
        <w:spacing w:after="0" w:line="240" w:lineRule="auto"/>
        <w:ind w:right="100"/>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Robyn Lincoln, ‘Human Rights (and Wrongs) of DNA Testing and Evidence’ (2001) 7 </w:t>
      </w:r>
      <w:r w:rsidRPr="0067406A">
        <w:rPr>
          <w:rFonts w:ascii="Cambria" w:eastAsiaTheme="majorEastAsia" w:hAnsi="Cambria" w:cstheme="majorBidi"/>
          <w:i/>
          <w:iCs/>
          <w:sz w:val="20"/>
          <w:szCs w:val="20"/>
        </w:rPr>
        <w:t>The National</w:t>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Legal Eagle</w:t>
      </w:r>
      <w:r w:rsidRPr="0067406A">
        <w:rPr>
          <w:rFonts w:ascii="Cambria" w:eastAsiaTheme="majorEastAsia" w:hAnsi="Cambria" w:cstheme="majorBidi"/>
          <w:sz w:val="20"/>
          <w:szCs w:val="20"/>
        </w:rPr>
        <w:t xml:space="preserve"> 3, 5.</w:t>
      </w:r>
    </w:p>
  </w:footnote>
  <w:footnote w:id="63">
    <w:p w14:paraId="0B08B435" w14:textId="5309ADC5" w:rsidR="00823EBF" w:rsidRPr="0047622D" w:rsidRDefault="00823EBF" w:rsidP="002D366D">
      <w:pPr>
        <w:tabs>
          <w:tab w:val="left" w:pos="200"/>
        </w:tabs>
        <w:spacing w:after="0" w:line="240" w:lineRule="auto"/>
        <w:jc w:val="both"/>
        <w:rPr>
          <w:rFonts w:ascii="Cambria" w:hAnsi="Cambria"/>
          <w:sz w:val="20"/>
          <w:szCs w:val="20"/>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 xml:space="preserve">Police Powers and Responsibilities Act 2000 </w:t>
      </w:r>
      <w:r w:rsidRPr="0067406A">
        <w:rPr>
          <w:rFonts w:ascii="Cambria" w:eastAsiaTheme="majorEastAsia" w:hAnsi="Cambria" w:cstheme="majorBidi"/>
          <w:sz w:val="20"/>
          <w:szCs w:val="20"/>
        </w:rPr>
        <w:t>(Qld), s 451(1).</w:t>
      </w:r>
    </w:p>
  </w:footnote>
  <w:footnote w:id="64">
    <w:p w14:paraId="594907C1" w14:textId="1ADD5D00" w:rsidR="00823EBF" w:rsidRPr="0067406A" w:rsidRDefault="00823EBF" w:rsidP="0047622D">
      <w:pPr>
        <w:pStyle w:val="FootnoteText"/>
        <w:rPr>
          <w:rFonts w:ascii="Cambria" w:eastAsiaTheme="majorEastAsia" w:hAnsi="Cambria" w:cstheme="majorBidi"/>
        </w:rPr>
      </w:pPr>
      <w:r w:rsidRPr="0067406A">
        <w:rPr>
          <w:rStyle w:val="FootnoteReference"/>
          <w:rFonts w:ascii="Cambria" w:hAnsi="Cambria"/>
        </w:rPr>
        <w:footnoteRef/>
      </w:r>
      <w:r w:rsidRPr="0067406A">
        <w:rPr>
          <w:rFonts w:ascii="Cambria" w:hAnsi="Cambria"/>
        </w:rPr>
        <w:t xml:space="preserve"> </w:t>
      </w:r>
      <w:r w:rsidR="0067406A" w:rsidRPr="00A120F3">
        <w:rPr>
          <w:rFonts w:ascii="Cambria" w:eastAsiaTheme="majorEastAsia" w:hAnsi="Cambria" w:cstheme="majorBidi"/>
        </w:rPr>
        <w:t xml:space="preserve">United Nations General Assembly, </w:t>
      </w:r>
      <w:r w:rsidR="0067406A" w:rsidRPr="00A120F3">
        <w:rPr>
          <w:rFonts w:ascii="Cambria" w:eastAsiaTheme="majorEastAsia" w:hAnsi="Cambria" w:cstheme="majorBidi"/>
          <w:i/>
          <w:iCs/>
        </w:rPr>
        <w:t>United Nations Standard Minimum Rules for the Administration of Juvenile Justice</w:t>
      </w:r>
      <w:r w:rsidR="0067406A" w:rsidRPr="00A120F3">
        <w:rPr>
          <w:rFonts w:ascii="Cambria" w:eastAsiaTheme="majorEastAsia" w:hAnsi="Cambria" w:cstheme="majorBidi"/>
        </w:rPr>
        <w:t xml:space="preserve"> </w:t>
      </w:r>
      <w:r w:rsidR="0067406A" w:rsidRPr="00A120F3">
        <w:rPr>
          <w:rFonts w:ascii="Cambria" w:eastAsiaTheme="majorEastAsia" w:hAnsi="Cambria" w:cstheme="majorBidi"/>
          <w:i/>
          <w:iCs/>
        </w:rPr>
        <w:t>(“The Beijing Rules”),</w:t>
      </w:r>
      <w:r w:rsidR="0067406A" w:rsidRPr="00A120F3">
        <w:rPr>
          <w:rFonts w:ascii="Cambria" w:eastAsiaTheme="majorEastAsia" w:hAnsi="Cambria" w:cstheme="majorBidi"/>
          <w:iCs/>
        </w:rPr>
        <w:t xml:space="preserve"> GA Res 40/33, UN GAOR,</w:t>
      </w:r>
      <w:r w:rsidR="0067406A" w:rsidRPr="00A120F3">
        <w:rPr>
          <w:rFonts w:ascii="Cambria" w:eastAsiaTheme="majorEastAsia" w:hAnsi="Cambria" w:cstheme="majorBidi"/>
          <w:i/>
          <w:iCs/>
        </w:rPr>
        <w:t xml:space="preserve"> </w:t>
      </w:r>
      <w:r w:rsidR="0067406A" w:rsidRPr="00A120F3">
        <w:rPr>
          <w:rFonts w:ascii="Cambria" w:eastAsiaTheme="majorEastAsia" w:hAnsi="Cambria" w:cstheme="majorBidi"/>
          <w:iCs/>
        </w:rPr>
        <w:t>40</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sess</w:t>
      </w:r>
      <w:proofErr w:type="spellEnd"/>
      <w:r w:rsidR="0067406A" w:rsidRPr="00A120F3">
        <w:rPr>
          <w:rFonts w:ascii="Cambria" w:eastAsiaTheme="majorEastAsia" w:hAnsi="Cambria" w:cstheme="majorBidi"/>
          <w:iCs/>
        </w:rPr>
        <w:t>, 96</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plen</w:t>
      </w:r>
      <w:proofErr w:type="spellEnd"/>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mtg</w:t>
      </w:r>
      <w:proofErr w:type="spellEnd"/>
      <w:r w:rsidR="0067406A" w:rsidRPr="00A120F3">
        <w:rPr>
          <w:rFonts w:ascii="Cambria" w:eastAsiaTheme="majorEastAsia" w:hAnsi="Cambria" w:cstheme="majorBidi"/>
          <w:iCs/>
        </w:rPr>
        <w:t>, UN Doc A/RES/40/33 (adopted 29 November 1985)</w:t>
      </w:r>
      <w:r w:rsidR="0067406A">
        <w:rPr>
          <w:rFonts w:ascii="Cambria" w:eastAsiaTheme="majorEastAsia" w:hAnsi="Cambria" w:cstheme="majorBidi"/>
        </w:rPr>
        <w:t>.</w:t>
      </w:r>
    </w:p>
  </w:footnote>
  <w:footnote w:id="65">
    <w:p w14:paraId="55044468" w14:textId="78317BA3" w:rsidR="00823EBF" w:rsidRPr="0067406A" w:rsidRDefault="00823EBF" w:rsidP="003F36F1">
      <w:pPr>
        <w:pStyle w:val="FootnoteText"/>
        <w:rPr>
          <w:rFonts w:ascii="Cambria" w:eastAsiaTheme="majorEastAsia" w:hAnsi="Cambria" w:cstheme="majorBidi"/>
          <w:highlight w:val="darkGray"/>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Asquith and </w:t>
      </w:r>
      <w:proofErr w:type="spellStart"/>
      <w:r w:rsidRPr="0067406A">
        <w:rPr>
          <w:rFonts w:ascii="Cambria" w:eastAsiaTheme="majorEastAsia" w:hAnsi="Cambria" w:cstheme="majorBidi"/>
        </w:rPr>
        <w:t>Bartkowiak</w:t>
      </w:r>
      <w:proofErr w:type="spellEnd"/>
      <w:r w:rsidRPr="0067406A">
        <w:rPr>
          <w:rFonts w:ascii="Cambria" w:eastAsiaTheme="majorEastAsia" w:hAnsi="Cambria" w:cstheme="majorBidi"/>
        </w:rPr>
        <w:t>-Theron, above n 7.</w:t>
      </w:r>
    </w:p>
  </w:footnote>
  <w:footnote w:id="66">
    <w:p w14:paraId="1FC136CE" w14:textId="30895242"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Chris </w:t>
      </w:r>
      <w:proofErr w:type="spellStart"/>
      <w:r w:rsidRPr="0067406A">
        <w:rPr>
          <w:rFonts w:ascii="Cambria" w:eastAsiaTheme="majorEastAsia" w:hAnsi="Cambria" w:cstheme="majorBidi"/>
        </w:rPr>
        <w:t>Cuneen</w:t>
      </w:r>
      <w:proofErr w:type="spellEnd"/>
      <w:r w:rsidRPr="0067406A">
        <w:rPr>
          <w:rFonts w:ascii="Cambria" w:eastAsiaTheme="majorEastAsia" w:hAnsi="Cambria" w:cstheme="majorBidi"/>
        </w:rPr>
        <w:t>, Rob White and Kelly Richards</w:t>
      </w:r>
      <w:r w:rsidRPr="0067406A">
        <w:rPr>
          <w:rFonts w:ascii="Cambria" w:eastAsiaTheme="majorEastAsia" w:hAnsi="Cambria" w:cstheme="majorBidi"/>
          <w:i/>
        </w:rPr>
        <w:t>, Juvenile Justice: Youth and Crime in Australia</w:t>
      </w:r>
      <w:r w:rsidRPr="0067406A">
        <w:rPr>
          <w:rFonts w:ascii="Cambria" w:eastAsiaTheme="majorEastAsia" w:hAnsi="Cambria" w:cstheme="majorBidi"/>
        </w:rPr>
        <w:t xml:space="preserve"> (Oxford University Press, 5</w:t>
      </w:r>
      <w:r w:rsidRPr="0067406A">
        <w:rPr>
          <w:rFonts w:ascii="Cambria" w:eastAsiaTheme="majorEastAsia" w:hAnsi="Cambria" w:cstheme="majorBidi"/>
          <w:vertAlign w:val="superscript"/>
        </w:rPr>
        <w:t>th</w:t>
      </w:r>
      <w:r w:rsidRPr="0067406A">
        <w:rPr>
          <w:rFonts w:ascii="Cambria" w:eastAsiaTheme="majorEastAsia" w:hAnsi="Cambria" w:cstheme="majorBidi"/>
        </w:rPr>
        <w:t xml:space="preserve"> </w:t>
      </w:r>
      <w:proofErr w:type="spellStart"/>
      <w:r w:rsidRPr="0067406A">
        <w:rPr>
          <w:rFonts w:ascii="Cambria" w:eastAsiaTheme="majorEastAsia" w:hAnsi="Cambria" w:cstheme="majorBidi"/>
        </w:rPr>
        <w:t>ed</w:t>
      </w:r>
      <w:proofErr w:type="spellEnd"/>
      <w:r w:rsidRPr="0067406A">
        <w:rPr>
          <w:rFonts w:ascii="Cambria" w:eastAsiaTheme="majorEastAsia" w:hAnsi="Cambria" w:cstheme="majorBidi"/>
        </w:rPr>
        <w:t>, 2015).</w:t>
      </w:r>
    </w:p>
  </w:footnote>
  <w:footnote w:id="67">
    <w:p w14:paraId="0959383C" w14:textId="3A3B00B1" w:rsidR="00823EBF" w:rsidRPr="0047622D" w:rsidRDefault="00823EBF" w:rsidP="0047622D">
      <w:pPr>
        <w:tabs>
          <w:tab w:val="left" w:pos="202"/>
        </w:tabs>
        <w:spacing w:after="0" w:line="240" w:lineRule="auto"/>
        <w:jc w:val="both"/>
        <w:rPr>
          <w:rFonts w:ascii="Cambria" w:eastAsiaTheme="majorEastAsia" w:hAnsi="Cambria" w:cstheme="majorBidi"/>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0067406A" w:rsidRPr="00A120F3">
        <w:rPr>
          <w:rFonts w:ascii="Cambria" w:eastAsiaTheme="majorEastAsia" w:hAnsi="Cambria" w:cstheme="majorBidi"/>
          <w:i/>
          <w:iCs/>
          <w:sz w:val="20"/>
          <w:szCs w:val="20"/>
        </w:rPr>
        <w:t xml:space="preserve">Convention on the Rights of the Child, </w:t>
      </w:r>
      <w:r w:rsidR="0067406A" w:rsidRPr="00A120F3">
        <w:rPr>
          <w:rFonts w:ascii="Cambria" w:eastAsiaTheme="majorEastAsia" w:hAnsi="Cambria" w:cstheme="majorBidi"/>
          <w:iCs/>
          <w:sz w:val="20"/>
          <w:szCs w:val="20"/>
        </w:rPr>
        <w:t>o</w:t>
      </w:r>
      <w:r w:rsidR="0067406A" w:rsidRPr="00A120F3">
        <w:rPr>
          <w:rFonts w:ascii="Cambria" w:eastAsiaTheme="majorEastAsia" w:hAnsi="Cambria" w:cstheme="majorBidi"/>
          <w:sz w:val="20"/>
          <w:szCs w:val="20"/>
        </w:rPr>
        <w:t>pened for signature 20 November 1989, 1577 UNTS 3 (entered into force 2 September 1990)</w:t>
      </w:r>
      <w:r w:rsidR="0067406A">
        <w:rPr>
          <w:rFonts w:ascii="Cambria" w:eastAsiaTheme="majorEastAsia" w:hAnsi="Cambria" w:cstheme="majorBidi"/>
          <w:sz w:val="20"/>
          <w:szCs w:val="20"/>
        </w:rPr>
        <w:t>.</w:t>
      </w:r>
    </w:p>
  </w:footnote>
  <w:footnote w:id="68">
    <w:p w14:paraId="3ECF0D2B" w14:textId="0496502F"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r w:rsidR="0067406A" w:rsidRPr="00A120F3">
        <w:rPr>
          <w:rFonts w:ascii="Cambria" w:eastAsiaTheme="majorEastAsia" w:hAnsi="Cambria" w:cstheme="majorBidi"/>
        </w:rPr>
        <w:t xml:space="preserve">United Nations General Assembly, </w:t>
      </w:r>
      <w:r w:rsidR="0067406A" w:rsidRPr="00A120F3">
        <w:rPr>
          <w:rFonts w:ascii="Cambria" w:eastAsiaTheme="majorEastAsia" w:hAnsi="Cambria" w:cstheme="majorBidi"/>
          <w:i/>
          <w:iCs/>
        </w:rPr>
        <w:t>United Nations Standard Minimum Rules for the Administration of Juvenile Justice</w:t>
      </w:r>
      <w:r w:rsidR="0067406A" w:rsidRPr="00A120F3">
        <w:rPr>
          <w:rFonts w:ascii="Cambria" w:eastAsiaTheme="majorEastAsia" w:hAnsi="Cambria" w:cstheme="majorBidi"/>
        </w:rPr>
        <w:t xml:space="preserve"> </w:t>
      </w:r>
      <w:r w:rsidR="0067406A" w:rsidRPr="00A120F3">
        <w:rPr>
          <w:rFonts w:ascii="Cambria" w:eastAsiaTheme="majorEastAsia" w:hAnsi="Cambria" w:cstheme="majorBidi"/>
          <w:i/>
          <w:iCs/>
        </w:rPr>
        <w:t>(“The Beijing Rules”),</w:t>
      </w:r>
      <w:r w:rsidR="0067406A" w:rsidRPr="00A120F3">
        <w:rPr>
          <w:rFonts w:ascii="Cambria" w:eastAsiaTheme="majorEastAsia" w:hAnsi="Cambria" w:cstheme="majorBidi"/>
          <w:iCs/>
        </w:rPr>
        <w:t xml:space="preserve"> GA Res 40/33, UN GAOR,</w:t>
      </w:r>
      <w:r w:rsidR="0067406A" w:rsidRPr="00A120F3">
        <w:rPr>
          <w:rFonts w:ascii="Cambria" w:eastAsiaTheme="majorEastAsia" w:hAnsi="Cambria" w:cstheme="majorBidi"/>
          <w:i/>
          <w:iCs/>
        </w:rPr>
        <w:t xml:space="preserve"> </w:t>
      </w:r>
      <w:r w:rsidR="0067406A" w:rsidRPr="00A120F3">
        <w:rPr>
          <w:rFonts w:ascii="Cambria" w:eastAsiaTheme="majorEastAsia" w:hAnsi="Cambria" w:cstheme="majorBidi"/>
          <w:iCs/>
        </w:rPr>
        <w:t>40</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sess</w:t>
      </w:r>
      <w:proofErr w:type="spellEnd"/>
      <w:r w:rsidR="0067406A" w:rsidRPr="00A120F3">
        <w:rPr>
          <w:rFonts w:ascii="Cambria" w:eastAsiaTheme="majorEastAsia" w:hAnsi="Cambria" w:cstheme="majorBidi"/>
          <w:iCs/>
        </w:rPr>
        <w:t>, 96</w:t>
      </w:r>
      <w:r w:rsidR="0067406A" w:rsidRPr="00A120F3">
        <w:rPr>
          <w:rFonts w:ascii="Cambria" w:eastAsiaTheme="majorEastAsia" w:hAnsi="Cambria" w:cstheme="majorBidi"/>
          <w:iCs/>
          <w:vertAlign w:val="superscript"/>
        </w:rPr>
        <w:t>th</w:t>
      </w:r>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plen</w:t>
      </w:r>
      <w:proofErr w:type="spellEnd"/>
      <w:r w:rsidR="0067406A" w:rsidRPr="00A120F3">
        <w:rPr>
          <w:rFonts w:ascii="Cambria" w:eastAsiaTheme="majorEastAsia" w:hAnsi="Cambria" w:cstheme="majorBidi"/>
          <w:iCs/>
        </w:rPr>
        <w:t xml:space="preserve"> </w:t>
      </w:r>
      <w:proofErr w:type="spellStart"/>
      <w:r w:rsidR="0067406A" w:rsidRPr="00A120F3">
        <w:rPr>
          <w:rFonts w:ascii="Cambria" w:eastAsiaTheme="majorEastAsia" w:hAnsi="Cambria" w:cstheme="majorBidi"/>
          <w:iCs/>
        </w:rPr>
        <w:t>mtg</w:t>
      </w:r>
      <w:proofErr w:type="spellEnd"/>
      <w:r w:rsidR="0067406A" w:rsidRPr="00A120F3">
        <w:rPr>
          <w:rFonts w:ascii="Cambria" w:eastAsiaTheme="majorEastAsia" w:hAnsi="Cambria" w:cstheme="majorBidi"/>
          <w:iCs/>
        </w:rPr>
        <w:t>, UN Doc A/RES/40/33 (adopted 29 November 1985)</w:t>
      </w:r>
      <w:r w:rsidR="0067406A">
        <w:rPr>
          <w:rFonts w:ascii="Cambria" w:eastAsiaTheme="majorEastAsia" w:hAnsi="Cambria" w:cstheme="majorBidi"/>
        </w:rPr>
        <w:t>.</w:t>
      </w:r>
    </w:p>
  </w:footnote>
  <w:footnote w:id="69">
    <w:p w14:paraId="42E93644" w14:textId="1766811E" w:rsidR="00823EBF" w:rsidRPr="0047622D" w:rsidRDefault="00823EBF" w:rsidP="0047622D">
      <w:pPr>
        <w:tabs>
          <w:tab w:val="left" w:pos="202"/>
        </w:tabs>
        <w:spacing w:after="0" w:line="240" w:lineRule="auto"/>
        <w:jc w:val="both"/>
        <w:rPr>
          <w:rFonts w:ascii="Cambria" w:eastAsiaTheme="majorEastAsia" w:hAnsi="Cambria" w:cstheme="majorBidi"/>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Pr="0067406A">
        <w:rPr>
          <w:rFonts w:ascii="Cambria" w:eastAsiaTheme="majorEastAsia" w:hAnsi="Cambria" w:cstheme="majorBidi"/>
          <w:i/>
          <w:iCs/>
          <w:sz w:val="20"/>
          <w:szCs w:val="20"/>
        </w:rPr>
        <w:t xml:space="preserve">Police Powers and Responsibilities Act 2000 </w:t>
      </w:r>
      <w:r w:rsidRPr="0067406A">
        <w:rPr>
          <w:rFonts w:ascii="Cambria" w:eastAsiaTheme="majorEastAsia" w:hAnsi="Cambria" w:cstheme="majorBidi"/>
          <w:sz w:val="20"/>
          <w:szCs w:val="20"/>
        </w:rPr>
        <w:t xml:space="preserve">(Qld), </w:t>
      </w:r>
      <w:proofErr w:type="spellStart"/>
      <w:r w:rsidRPr="0067406A">
        <w:rPr>
          <w:rFonts w:ascii="Cambria" w:eastAsiaTheme="majorEastAsia" w:hAnsi="Cambria" w:cstheme="majorBidi"/>
          <w:sz w:val="20"/>
          <w:szCs w:val="20"/>
        </w:rPr>
        <w:t>ch</w:t>
      </w:r>
      <w:proofErr w:type="spellEnd"/>
      <w:r w:rsidRPr="0067406A">
        <w:rPr>
          <w:rFonts w:ascii="Cambria" w:eastAsiaTheme="majorEastAsia" w:hAnsi="Cambria" w:cstheme="majorBidi"/>
          <w:sz w:val="20"/>
          <w:szCs w:val="20"/>
        </w:rPr>
        <w:t xml:space="preserve"> 17</w:t>
      </w:r>
      <w:r w:rsidR="0067406A">
        <w:rPr>
          <w:rFonts w:ascii="Cambria" w:eastAsiaTheme="majorEastAsia" w:hAnsi="Cambria" w:cstheme="majorBidi"/>
        </w:rPr>
        <w:t xml:space="preserve">; </w:t>
      </w:r>
      <w:r w:rsidR="0067406A" w:rsidRPr="00A120F3">
        <w:rPr>
          <w:rFonts w:ascii="Cambria" w:eastAsiaTheme="majorEastAsia" w:hAnsi="Cambria" w:cstheme="majorBidi"/>
          <w:i/>
          <w:iCs/>
          <w:sz w:val="20"/>
          <w:szCs w:val="20"/>
        </w:rPr>
        <w:t xml:space="preserve">Convention on the Rights of the Child, </w:t>
      </w:r>
      <w:r w:rsidR="0067406A" w:rsidRPr="00A120F3">
        <w:rPr>
          <w:rFonts w:ascii="Cambria" w:eastAsiaTheme="majorEastAsia" w:hAnsi="Cambria" w:cstheme="majorBidi"/>
          <w:iCs/>
          <w:sz w:val="20"/>
          <w:szCs w:val="20"/>
        </w:rPr>
        <w:t>o</w:t>
      </w:r>
      <w:r w:rsidR="0067406A" w:rsidRPr="00A120F3">
        <w:rPr>
          <w:rFonts w:ascii="Cambria" w:eastAsiaTheme="majorEastAsia" w:hAnsi="Cambria" w:cstheme="majorBidi"/>
          <w:sz w:val="20"/>
          <w:szCs w:val="20"/>
        </w:rPr>
        <w:t>pened for signature 20 November 1989, 1577 UNTS 3 (entered into force 2 September 1990)</w:t>
      </w:r>
      <w:r w:rsidR="0067406A">
        <w:rPr>
          <w:rFonts w:ascii="Cambria" w:eastAsiaTheme="majorEastAsia" w:hAnsi="Cambria" w:cstheme="majorBidi"/>
          <w:sz w:val="20"/>
          <w:szCs w:val="20"/>
        </w:rPr>
        <w:t>.</w:t>
      </w:r>
    </w:p>
  </w:footnote>
  <w:footnote w:id="70">
    <w:p w14:paraId="03A969B5" w14:textId="5274167E" w:rsidR="00823EBF" w:rsidRPr="0067406A" w:rsidRDefault="00823EBF" w:rsidP="002D366D">
      <w:pPr>
        <w:tabs>
          <w:tab w:val="left" w:pos="180"/>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proofErr w:type="spellStart"/>
      <w:r w:rsidRPr="0067406A">
        <w:rPr>
          <w:rFonts w:ascii="Cambria" w:eastAsiaTheme="majorEastAsia" w:hAnsi="Cambria" w:cstheme="majorBidi"/>
          <w:sz w:val="20"/>
          <w:szCs w:val="20"/>
        </w:rPr>
        <w:t>Vogler</w:t>
      </w:r>
      <w:proofErr w:type="spellEnd"/>
      <w:r w:rsidRPr="0067406A">
        <w:rPr>
          <w:rFonts w:ascii="Cambria" w:eastAsiaTheme="majorEastAsia" w:hAnsi="Cambria" w:cstheme="majorBidi"/>
          <w:sz w:val="20"/>
          <w:szCs w:val="20"/>
        </w:rPr>
        <w:t>, above n 5</w:t>
      </w:r>
      <w:r w:rsidR="0067406A">
        <w:rPr>
          <w:rFonts w:ascii="Cambria" w:eastAsiaTheme="majorEastAsia" w:hAnsi="Cambria" w:cstheme="majorBidi"/>
          <w:sz w:val="20"/>
          <w:szCs w:val="20"/>
        </w:rPr>
        <w:t>2</w:t>
      </w:r>
      <w:r w:rsidRPr="0067406A">
        <w:rPr>
          <w:rFonts w:ascii="Cambria" w:eastAsiaTheme="majorEastAsia" w:hAnsi="Cambria" w:cstheme="majorBidi"/>
          <w:sz w:val="20"/>
          <w:szCs w:val="20"/>
        </w:rPr>
        <w:t>, 1.</w:t>
      </w:r>
    </w:p>
  </w:footnote>
  <w:footnote w:id="71">
    <w:p w14:paraId="295A8FBF" w14:textId="73D1C0B1" w:rsidR="00823EBF" w:rsidRPr="0067406A" w:rsidRDefault="00823EBF" w:rsidP="002D366D">
      <w:pPr>
        <w:tabs>
          <w:tab w:val="left" w:pos="202"/>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Nuffield Council on Bioethics, </w:t>
      </w:r>
      <w:r w:rsidRPr="0067406A">
        <w:rPr>
          <w:rFonts w:ascii="Cambria" w:eastAsiaTheme="majorEastAsia" w:hAnsi="Cambria" w:cstheme="majorBidi"/>
          <w:i/>
          <w:iCs/>
          <w:sz w:val="20"/>
          <w:szCs w:val="20"/>
        </w:rPr>
        <w:t xml:space="preserve">The Forensic Use of </w:t>
      </w:r>
      <w:proofErr w:type="spellStart"/>
      <w:r w:rsidRPr="0067406A">
        <w:rPr>
          <w:rFonts w:ascii="Cambria" w:eastAsiaTheme="majorEastAsia" w:hAnsi="Cambria" w:cstheme="majorBidi"/>
          <w:i/>
          <w:iCs/>
          <w:sz w:val="20"/>
          <w:szCs w:val="20"/>
        </w:rPr>
        <w:t>Bioinformation</w:t>
      </w:r>
      <w:proofErr w:type="spellEnd"/>
      <w:r w:rsidRPr="0067406A">
        <w:rPr>
          <w:rFonts w:ascii="Cambria" w:eastAsiaTheme="majorEastAsia" w:hAnsi="Cambria" w:cstheme="majorBidi"/>
          <w:i/>
          <w:iCs/>
          <w:sz w:val="20"/>
          <w:szCs w:val="20"/>
        </w:rPr>
        <w:t>: Ethical Issues</w:t>
      </w:r>
      <w:r w:rsidRPr="0067406A">
        <w:rPr>
          <w:rFonts w:ascii="Cambria" w:eastAsiaTheme="majorEastAsia" w:hAnsi="Cambria" w:cstheme="majorBidi"/>
          <w:sz w:val="20"/>
          <w:szCs w:val="20"/>
        </w:rPr>
        <w:t xml:space="preserve"> (September 2007); </w:t>
      </w:r>
      <w:proofErr w:type="spellStart"/>
      <w:r w:rsidRPr="0067406A">
        <w:rPr>
          <w:rFonts w:ascii="Cambria" w:eastAsiaTheme="majorEastAsia" w:hAnsi="Cambria" w:cstheme="majorBidi"/>
          <w:sz w:val="20"/>
          <w:szCs w:val="20"/>
        </w:rPr>
        <w:t>Freckelton</w:t>
      </w:r>
      <w:proofErr w:type="spellEnd"/>
      <w:r w:rsidRPr="0067406A">
        <w:rPr>
          <w:rFonts w:ascii="Cambria" w:eastAsiaTheme="majorEastAsia" w:hAnsi="Cambria" w:cstheme="majorBidi"/>
          <w:sz w:val="20"/>
          <w:szCs w:val="20"/>
        </w:rPr>
        <w:t>, above n 4</w:t>
      </w:r>
      <w:r w:rsidR="0067406A">
        <w:rPr>
          <w:rFonts w:ascii="Cambria" w:eastAsiaTheme="majorEastAsia" w:hAnsi="Cambria" w:cstheme="majorBidi"/>
          <w:sz w:val="20"/>
          <w:szCs w:val="20"/>
        </w:rPr>
        <w:t>2</w:t>
      </w:r>
      <w:r w:rsidRPr="0067406A">
        <w:rPr>
          <w:rFonts w:ascii="Cambria" w:eastAsiaTheme="majorEastAsia" w:hAnsi="Cambria" w:cstheme="majorBidi"/>
          <w:sz w:val="20"/>
          <w:szCs w:val="20"/>
        </w:rPr>
        <w:t>.</w:t>
      </w:r>
    </w:p>
  </w:footnote>
  <w:footnote w:id="72">
    <w:p w14:paraId="12F15E4C" w14:textId="6F502F0E" w:rsidR="00823EBF" w:rsidRPr="0067406A" w:rsidRDefault="00823EBF" w:rsidP="003F36F1">
      <w:pPr>
        <w:pStyle w:val="FootnoteText"/>
        <w:rPr>
          <w:rFonts w:ascii="Cambria" w:hAnsi="Cambria"/>
        </w:rPr>
      </w:pPr>
      <w:r w:rsidRPr="0067406A">
        <w:rPr>
          <w:rStyle w:val="FootnoteReference"/>
          <w:rFonts w:ascii="Cambria" w:hAnsi="Cambria"/>
        </w:rPr>
        <w:footnoteRef/>
      </w:r>
      <w:r w:rsidRPr="0067406A">
        <w:rPr>
          <w:rFonts w:ascii="Cambria" w:hAnsi="Cambria"/>
        </w:rPr>
        <w:t xml:space="preserve"> </w:t>
      </w:r>
      <w:r w:rsidRPr="0067406A">
        <w:rPr>
          <w:rFonts w:ascii="Cambria" w:eastAsiaTheme="majorEastAsia" w:hAnsi="Cambria" w:cstheme="majorBidi"/>
        </w:rPr>
        <w:t xml:space="preserve">Carole McCartney, ‘The DNA Expansion Programme and Criminal Investigation’ (2006) 46(2) </w:t>
      </w:r>
      <w:r w:rsidRPr="0067406A">
        <w:rPr>
          <w:rFonts w:ascii="Cambria" w:eastAsiaTheme="majorEastAsia" w:hAnsi="Cambria" w:cstheme="majorBidi"/>
          <w:i/>
        </w:rPr>
        <w:t>British Journal of Criminology</w:t>
      </w:r>
      <w:r w:rsidRPr="0067406A">
        <w:rPr>
          <w:rFonts w:ascii="Cambria" w:eastAsiaTheme="majorEastAsia" w:hAnsi="Cambria" w:cstheme="majorBidi"/>
        </w:rPr>
        <w:t xml:space="preserve"> 175.</w:t>
      </w:r>
    </w:p>
  </w:footnote>
  <w:footnote w:id="73">
    <w:p w14:paraId="156B827E" w14:textId="34F46821"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w:t>
      </w:r>
      <w:proofErr w:type="spellStart"/>
      <w:r w:rsidR="0067406A" w:rsidRPr="00A120F3">
        <w:rPr>
          <w:rFonts w:ascii="Cambria" w:eastAsiaTheme="majorEastAsia" w:hAnsi="Cambria" w:cstheme="majorBidi"/>
          <w:i/>
          <w:iCs/>
        </w:rPr>
        <w:t>Gillick</w:t>
      </w:r>
      <w:proofErr w:type="spellEnd"/>
      <w:r w:rsidR="0067406A" w:rsidRPr="00A120F3">
        <w:rPr>
          <w:rFonts w:ascii="Cambria" w:eastAsiaTheme="majorEastAsia" w:hAnsi="Cambria" w:cstheme="majorBidi"/>
          <w:i/>
          <w:iCs/>
        </w:rPr>
        <w:t xml:space="preserve"> v West Norfolk and </w:t>
      </w:r>
      <w:proofErr w:type="spellStart"/>
      <w:r w:rsidR="0067406A" w:rsidRPr="00A120F3">
        <w:rPr>
          <w:rFonts w:ascii="Cambria" w:eastAsiaTheme="majorEastAsia" w:hAnsi="Cambria" w:cstheme="majorBidi"/>
          <w:i/>
          <w:iCs/>
        </w:rPr>
        <w:t>Wisbech</w:t>
      </w:r>
      <w:proofErr w:type="spellEnd"/>
      <w:r w:rsidR="0067406A" w:rsidRPr="00A120F3">
        <w:rPr>
          <w:rFonts w:ascii="Cambria" w:eastAsiaTheme="majorEastAsia" w:hAnsi="Cambria" w:cstheme="majorBidi"/>
          <w:i/>
          <w:iCs/>
        </w:rPr>
        <w:t xml:space="preserve"> Area Health Authority </w:t>
      </w:r>
      <w:r w:rsidR="0067406A" w:rsidRPr="00A120F3">
        <w:rPr>
          <w:rFonts w:ascii="Cambria" w:eastAsiaTheme="majorEastAsia" w:hAnsi="Cambria" w:cstheme="majorBidi"/>
        </w:rPr>
        <w:t>[1985] AII ER 402</w:t>
      </w:r>
      <w:r w:rsidR="0067406A">
        <w:rPr>
          <w:rFonts w:ascii="Cambria" w:eastAsiaTheme="majorEastAsia" w:hAnsi="Cambria" w:cstheme="majorBidi"/>
        </w:rPr>
        <w:t>.</w:t>
      </w:r>
    </w:p>
  </w:footnote>
  <w:footnote w:id="74">
    <w:p w14:paraId="53B1C030" w14:textId="0DA1FB07" w:rsidR="00823EBF" w:rsidRPr="0067406A" w:rsidRDefault="00823EBF" w:rsidP="0067406A">
      <w:pPr>
        <w:tabs>
          <w:tab w:val="left" w:pos="180"/>
        </w:tabs>
        <w:spacing w:after="0" w:line="240" w:lineRule="auto"/>
        <w:jc w:val="both"/>
        <w:rPr>
          <w:rFonts w:ascii="Cambria" w:eastAsiaTheme="majorEastAsia" w:hAnsi="Cambria" w:cstheme="majorBidi"/>
          <w:sz w:val="20"/>
          <w:szCs w:val="20"/>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w:t>
      </w:r>
      <w:r w:rsidR="0067406A" w:rsidRPr="00A120F3">
        <w:rPr>
          <w:rFonts w:ascii="Cambria" w:eastAsiaTheme="majorEastAsia" w:hAnsi="Cambria" w:cstheme="majorBidi"/>
          <w:i/>
          <w:iCs/>
          <w:sz w:val="20"/>
          <w:szCs w:val="20"/>
        </w:rPr>
        <w:t xml:space="preserve">Department of Health and Community Services </w:t>
      </w:r>
      <w:r w:rsidR="0067406A" w:rsidRPr="00A120F3">
        <w:rPr>
          <w:rFonts w:ascii="Cambria" w:eastAsiaTheme="majorEastAsia" w:hAnsi="Cambria" w:cstheme="majorBidi"/>
          <w:sz w:val="20"/>
          <w:szCs w:val="20"/>
        </w:rPr>
        <w:t>(NT)</w:t>
      </w:r>
      <w:r w:rsidR="0067406A" w:rsidRPr="00A120F3">
        <w:rPr>
          <w:rFonts w:ascii="Cambria" w:eastAsiaTheme="majorEastAsia" w:hAnsi="Cambria" w:cstheme="majorBidi"/>
          <w:i/>
          <w:iCs/>
          <w:sz w:val="20"/>
          <w:szCs w:val="20"/>
        </w:rPr>
        <w:t xml:space="preserve"> v JWB and SMB </w:t>
      </w:r>
      <w:r w:rsidR="0067406A" w:rsidRPr="00A120F3">
        <w:rPr>
          <w:rFonts w:ascii="Cambria" w:eastAsiaTheme="majorEastAsia" w:hAnsi="Cambria" w:cstheme="majorBidi"/>
          <w:sz w:val="20"/>
          <w:szCs w:val="20"/>
        </w:rPr>
        <w:t>(</w:t>
      </w:r>
      <w:r w:rsidR="0067406A" w:rsidRPr="00A120F3">
        <w:rPr>
          <w:rFonts w:ascii="Cambria" w:eastAsiaTheme="majorEastAsia" w:hAnsi="Cambria" w:cstheme="majorBidi"/>
          <w:i/>
          <w:iCs/>
          <w:sz w:val="20"/>
          <w:szCs w:val="20"/>
        </w:rPr>
        <w:t xml:space="preserve">Marion’s </w:t>
      </w:r>
      <w:r w:rsidR="0067406A" w:rsidRPr="00A120F3">
        <w:rPr>
          <w:rFonts w:ascii="Cambria" w:eastAsiaTheme="majorEastAsia" w:hAnsi="Cambria" w:cstheme="majorBidi"/>
          <w:sz w:val="20"/>
          <w:szCs w:val="20"/>
        </w:rPr>
        <w:t>case) (1992) 175 CLR 218</w:t>
      </w:r>
      <w:r w:rsidR="0067406A">
        <w:rPr>
          <w:rFonts w:ascii="Cambria" w:eastAsiaTheme="majorEastAsia" w:hAnsi="Cambria" w:cstheme="majorBidi"/>
          <w:sz w:val="20"/>
          <w:szCs w:val="20"/>
        </w:rPr>
        <w:t>.</w:t>
      </w:r>
    </w:p>
  </w:footnote>
  <w:footnote w:id="75">
    <w:p w14:paraId="6526DFBB" w14:textId="61526972"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00CF38A0">
        <w:rPr>
          <w:rFonts w:ascii="Cambria" w:eastAsiaTheme="majorEastAsia" w:hAnsi="Cambria" w:cstheme="majorBidi"/>
        </w:rPr>
        <w:t xml:space="preserve"> Ibid</w:t>
      </w:r>
      <w:r w:rsidRPr="0067406A">
        <w:rPr>
          <w:rFonts w:ascii="Cambria" w:eastAsiaTheme="majorEastAsia" w:hAnsi="Cambria" w:cstheme="majorBidi"/>
        </w:rPr>
        <w:t xml:space="preserve"> 237-238.</w:t>
      </w:r>
    </w:p>
  </w:footnote>
  <w:footnote w:id="76">
    <w:p w14:paraId="1F61F129" w14:textId="30A42C80" w:rsidR="00823EBF" w:rsidRPr="0067406A" w:rsidRDefault="00823EBF" w:rsidP="002D366D">
      <w:pPr>
        <w:tabs>
          <w:tab w:val="left" w:pos="200"/>
        </w:tabs>
        <w:spacing w:after="0" w:line="240" w:lineRule="auto"/>
        <w:jc w:val="both"/>
        <w:rPr>
          <w:rFonts w:ascii="Cambria" w:eastAsiaTheme="majorEastAsia" w:hAnsi="Cambria" w:cstheme="majorBidi"/>
          <w:sz w:val="20"/>
          <w:szCs w:val="20"/>
          <w:vertAlign w:val="superscript"/>
        </w:rPr>
      </w:pPr>
      <w:r w:rsidRPr="0067406A">
        <w:rPr>
          <w:rStyle w:val="FootnoteReference"/>
          <w:rFonts w:ascii="Cambria" w:eastAsiaTheme="majorEastAsia" w:hAnsi="Cambria" w:cstheme="majorBidi"/>
          <w:sz w:val="20"/>
          <w:szCs w:val="20"/>
        </w:rPr>
        <w:footnoteRef/>
      </w:r>
      <w:r w:rsidRPr="0067406A">
        <w:rPr>
          <w:rFonts w:ascii="Cambria" w:eastAsiaTheme="majorEastAsia" w:hAnsi="Cambria" w:cstheme="majorBidi"/>
          <w:sz w:val="20"/>
          <w:szCs w:val="20"/>
        </w:rPr>
        <w:t xml:space="preserve"> John R. </w:t>
      </w:r>
      <w:proofErr w:type="spellStart"/>
      <w:r w:rsidRPr="0067406A">
        <w:rPr>
          <w:rFonts w:ascii="Cambria" w:eastAsiaTheme="majorEastAsia" w:hAnsi="Cambria" w:cstheme="majorBidi"/>
          <w:sz w:val="20"/>
          <w:szCs w:val="20"/>
        </w:rPr>
        <w:t>Morss</w:t>
      </w:r>
      <w:proofErr w:type="spellEnd"/>
      <w:r w:rsidRPr="0067406A">
        <w:rPr>
          <w:rFonts w:ascii="Cambria" w:eastAsiaTheme="majorEastAsia" w:hAnsi="Cambria" w:cstheme="majorBidi"/>
          <w:sz w:val="20"/>
          <w:szCs w:val="20"/>
        </w:rPr>
        <w:t>, ‘But for the Barriers: Significant Extensions to Children’s Capacity’ (2004) 11(2)</w:t>
      </w:r>
    </w:p>
    <w:p w14:paraId="0B6D7EC6" w14:textId="6E236354" w:rsidR="00823EBF" w:rsidRPr="0067406A" w:rsidRDefault="00823EBF" w:rsidP="002D366D">
      <w:pPr>
        <w:spacing w:after="0" w:line="240" w:lineRule="auto"/>
        <w:jc w:val="both"/>
        <w:rPr>
          <w:rFonts w:ascii="Cambria" w:eastAsiaTheme="majorEastAsia" w:hAnsi="Cambria" w:cstheme="majorBidi"/>
          <w:sz w:val="20"/>
          <w:szCs w:val="20"/>
          <w:vertAlign w:val="superscript"/>
        </w:rPr>
      </w:pPr>
      <w:r w:rsidRPr="0067406A">
        <w:rPr>
          <w:rFonts w:ascii="Cambria" w:eastAsiaTheme="majorEastAsia" w:hAnsi="Cambria" w:cstheme="majorBidi"/>
          <w:i/>
          <w:iCs/>
          <w:sz w:val="20"/>
          <w:szCs w:val="20"/>
        </w:rPr>
        <w:t>Psychiatry, Psychology and the Law</w:t>
      </w:r>
      <w:r w:rsidRPr="0067406A">
        <w:rPr>
          <w:rFonts w:ascii="Cambria" w:eastAsiaTheme="majorEastAsia" w:hAnsi="Cambria" w:cstheme="majorBidi"/>
          <w:sz w:val="20"/>
          <w:szCs w:val="20"/>
        </w:rPr>
        <w:t xml:space="preserve"> 319.</w:t>
      </w:r>
    </w:p>
  </w:footnote>
  <w:footnote w:id="77">
    <w:p w14:paraId="02A53359" w14:textId="5EA689E5" w:rsidR="00823EBF" w:rsidRPr="0067406A" w:rsidRDefault="00823EBF" w:rsidP="003F36F1">
      <w:pPr>
        <w:pStyle w:val="FootnoteText"/>
        <w:rPr>
          <w:rFonts w:ascii="Cambria" w:eastAsiaTheme="majorEastAsia" w:hAnsi="Cambria" w:cstheme="majorBidi"/>
        </w:rPr>
      </w:pPr>
      <w:r w:rsidRPr="0067406A">
        <w:rPr>
          <w:rStyle w:val="FootnoteReference"/>
          <w:rFonts w:ascii="Cambria" w:eastAsiaTheme="majorEastAsia" w:hAnsi="Cambria" w:cstheme="majorBidi"/>
        </w:rPr>
        <w:footnoteRef/>
      </w:r>
      <w:r w:rsidRPr="0067406A">
        <w:rPr>
          <w:rFonts w:ascii="Cambria" w:eastAsiaTheme="majorEastAsia" w:hAnsi="Cambria" w:cstheme="majorBidi"/>
        </w:rPr>
        <w:t xml:space="preserve"> Ibid, 321 quoting </w:t>
      </w:r>
      <w:r w:rsidRPr="0067406A">
        <w:rPr>
          <w:rFonts w:ascii="Cambria" w:eastAsiaTheme="majorEastAsia" w:hAnsi="Cambria" w:cstheme="majorBidi"/>
          <w:i/>
        </w:rPr>
        <w:t>B &amp; B and Minister for Immigration and Multicultural &amp; Indigenous Affairs</w:t>
      </w:r>
      <w:r w:rsidRPr="0067406A">
        <w:rPr>
          <w:rFonts w:ascii="Cambria" w:eastAsiaTheme="majorEastAsia" w:hAnsi="Cambria" w:cstheme="majorBidi"/>
        </w:rPr>
        <w:t xml:space="preserve"> [2003] Fam CA 451, [376].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D5D0" w14:textId="685ADBF3" w:rsidR="00823EBF" w:rsidRPr="0009255C" w:rsidRDefault="00823EBF" w:rsidP="72A6D696">
    <w:pPr>
      <w:pStyle w:val="Header"/>
      <w:rPr>
        <w:rFonts w:ascii="Cambria" w:eastAsiaTheme="majorEastAsia" w:hAnsi="Cambria" w:cstheme="majorBidi"/>
      </w:rPr>
    </w:pPr>
    <w:r w:rsidRPr="0009255C">
      <w:rPr>
        <w:rFonts w:ascii="Cambria" w:eastAsiaTheme="majorEastAsia" w:hAnsi="Cambria" w:cstheme="majorBidi"/>
        <w:smallCaps/>
      </w:rPr>
      <w:t xml:space="preserve">Vol 5 (1) 2017 </w:t>
    </w:r>
    <w:r w:rsidRPr="0009255C">
      <w:rPr>
        <w:rFonts w:ascii="Cambria" w:hAnsi="Cambria"/>
        <w:smallCaps/>
      </w:rPr>
      <w:tab/>
    </w:r>
    <w:r w:rsidRPr="0009255C">
      <w:rPr>
        <w:rFonts w:ascii="Cambria" w:eastAsiaTheme="majorEastAsia" w:hAnsi="Cambria" w:cstheme="majorBidi"/>
      </w:rPr>
      <w:t xml:space="preserve">         </w:t>
    </w:r>
    <w:r w:rsidRPr="0009255C">
      <w:rPr>
        <w:rFonts w:ascii="Cambria" w:eastAsiaTheme="majorEastAsia" w:hAnsi="Cambria" w:cstheme="majorBidi"/>
        <w:i/>
        <w:iCs/>
        <w:smallCaps/>
      </w:rPr>
      <w:t>Griffith Journal of Law &amp; Human Dignity</w:t>
    </w:r>
    <w:r w:rsidRPr="0009255C">
      <w:rPr>
        <w:rFonts w:ascii="Cambria" w:eastAsiaTheme="majorEastAsia" w:hAnsi="Cambria" w:cstheme="majorBidi"/>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4BE0" w14:textId="197C9F9D" w:rsidR="00823EBF" w:rsidRPr="0009255C" w:rsidRDefault="00823EBF" w:rsidP="72A6D696">
    <w:pPr>
      <w:pStyle w:val="Header"/>
      <w:rPr>
        <w:rFonts w:ascii="Cambria" w:eastAsiaTheme="majorEastAsia" w:hAnsi="Cambria" w:cstheme="majorBidi"/>
        <w:iCs/>
      </w:rPr>
    </w:pPr>
    <w:r w:rsidRPr="0009255C">
      <w:rPr>
        <w:rFonts w:ascii="Cambria" w:hAnsi="Cambria"/>
      </w:rPr>
      <w:tab/>
    </w:r>
    <w:r w:rsidRPr="0009255C">
      <w:rPr>
        <w:rFonts w:ascii="Cambria" w:eastAsiaTheme="majorEastAsia" w:hAnsi="Cambria" w:cstheme="majorBidi"/>
        <w:i/>
        <w:smallCaps/>
      </w:rPr>
      <w:t>Collecting DNA From Young Offenders</w:t>
    </w:r>
    <w:r w:rsidRPr="0009255C">
      <w:rPr>
        <w:rFonts w:ascii="Cambria" w:eastAsiaTheme="majorEastAsia" w:hAnsi="Cambria" w:cstheme="majorBidi"/>
        <w:smallCaps/>
      </w:rPr>
      <w:t xml:space="preserve"> </w:t>
    </w:r>
    <w:r w:rsidRPr="0009255C">
      <w:rPr>
        <w:rFonts w:ascii="Cambria" w:hAnsi="Cambria"/>
        <w:smallCaps/>
      </w:rPr>
      <w:tab/>
    </w:r>
    <w:r w:rsidRPr="0009255C">
      <w:rPr>
        <w:rFonts w:ascii="Cambria" w:eastAsiaTheme="majorEastAsia" w:hAnsi="Cambria" w:cstheme="majorBidi"/>
        <w:smallCaps/>
      </w:rPr>
      <w:t xml:space="preserve"> Vol 5(1)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BA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C145B"/>
    <w:multiLevelType w:val="hybridMultilevel"/>
    <w:tmpl w:val="16F86C86"/>
    <w:lvl w:ilvl="0" w:tplc="CCF6A70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0CDE7"/>
    <w:multiLevelType w:val="hybridMultilevel"/>
    <w:tmpl w:val="388EFC04"/>
    <w:lvl w:ilvl="0" w:tplc="A9BAD0B0">
      <w:start w:val="17"/>
      <w:numFmt w:val="decimal"/>
      <w:lvlText w:val="%1"/>
      <w:lvlJc w:val="left"/>
    </w:lvl>
    <w:lvl w:ilvl="1" w:tplc="7250F856">
      <w:numFmt w:val="decimal"/>
      <w:lvlText w:val=""/>
      <w:lvlJc w:val="left"/>
    </w:lvl>
    <w:lvl w:ilvl="2" w:tplc="BB02DD46">
      <w:numFmt w:val="decimal"/>
      <w:lvlText w:val=""/>
      <w:lvlJc w:val="left"/>
    </w:lvl>
    <w:lvl w:ilvl="3" w:tplc="60D2C766">
      <w:numFmt w:val="decimal"/>
      <w:lvlText w:val=""/>
      <w:lvlJc w:val="left"/>
    </w:lvl>
    <w:lvl w:ilvl="4" w:tplc="3208EE28">
      <w:numFmt w:val="decimal"/>
      <w:lvlText w:val=""/>
      <w:lvlJc w:val="left"/>
    </w:lvl>
    <w:lvl w:ilvl="5" w:tplc="38D6C466">
      <w:numFmt w:val="decimal"/>
      <w:lvlText w:val=""/>
      <w:lvlJc w:val="left"/>
    </w:lvl>
    <w:lvl w:ilvl="6" w:tplc="077212B6">
      <w:numFmt w:val="decimal"/>
      <w:lvlText w:val=""/>
      <w:lvlJc w:val="left"/>
    </w:lvl>
    <w:lvl w:ilvl="7" w:tplc="0F72DA3C">
      <w:numFmt w:val="decimal"/>
      <w:lvlText w:val=""/>
      <w:lvlJc w:val="left"/>
    </w:lvl>
    <w:lvl w:ilvl="8" w:tplc="AFD40A44">
      <w:numFmt w:val="decimal"/>
      <w:lvlText w:val=""/>
      <w:lvlJc w:val="left"/>
    </w:lvl>
  </w:abstractNum>
  <w:abstractNum w:abstractNumId="3">
    <w:nsid w:val="1BEFD79F"/>
    <w:multiLevelType w:val="hybridMultilevel"/>
    <w:tmpl w:val="F9EED96E"/>
    <w:lvl w:ilvl="0" w:tplc="08389FCE">
      <w:start w:val="26"/>
      <w:numFmt w:val="decimal"/>
      <w:lvlText w:val="%1"/>
      <w:lvlJc w:val="left"/>
    </w:lvl>
    <w:lvl w:ilvl="1" w:tplc="2858024C">
      <w:numFmt w:val="decimal"/>
      <w:lvlText w:val=""/>
      <w:lvlJc w:val="left"/>
    </w:lvl>
    <w:lvl w:ilvl="2" w:tplc="80E45396">
      <w:numFmt w:val="decimal"/>
      <w:lvlText w:val=""/>
      <w:lvlJc w:val="left"/>
    </w:lvl>
    <w:lvl w:ilvl="3" w:tplc="0F6AD412">
      <w:numFmt w:val="decimal"/>
      <w:lvlText w:val=""/>
      <w:lvlJc w:val="left"/>
    </w:lvl>
    <w:lvl w:ilvl="4" w:tplc="5F6C25A6">
      <w:numFmt w:val="decimal"/>
      <w:lvlText w:val=""/>
      <w:lvlJc w:val="left"/>
    </w:lvl>
    <w:lvl w:ilvl="5" w:tplc="A6E2CF04">
      <w:numFmt w:val="decimal"/>
      <w:lvlText w:val=""/>
      <w:lvlJc w:val="left"/>
    </w:lvl>
    <w:lvl w:ilvl="6" w:tplc="6C6A76A6">
      <w:numFmt w:val="decimal"/>
      <w:lvlText w:val=""/>
      <w:lvlJc w:val="left"/>
    </w:lvl>
    <w:lvl w:ilvl="7" w:tplc="233E8612">
      <w:numFmt w:val="decimal"/>
      <w:lvlText w:val=""/>
      <w:lvlJc w:val="left"/>
    </w:lvl>
    <w:lvl w:ilvl="8" w:tplc="F702924A">
      <w:numFmt w:val="decimal"/>
      <w:lvlText w:val=""/>
      <w:lvlJc w:val="left"/>
    </w:lvl>
  </w:abstractNum>
  <w:abstractNum w:abstractNumId="4">
    <w:nsid w:val="1F16E9E8"/>
    <w:multiLevelType w:val="hybridMultilevel"/>
    <w:tmpl w:val="DA00E9C2"/>
    <w:lvl w:ilvl="0" w:tplc="64D470AE">
      <w:start w:val="14"/>
      <w:numFmt w:val="decimal"/>
      <w:lvlText w:val="%1"/>
      <w:lvlJc w:val="left"/>
    </w:lvl>
    <w:lvl w:ilvl="1" w:tplc="5A6681EE">
      <w:numFmt w:val="decimal"/>
      <w:lvlText w:val=""/>
      <w:lvlJc w:val="left"/>
    </w:lvl>
    <w:lvl w:ilvl="2" w:tplc="0884EE94">
      <w:numFmt w:val="decimal"/>
      <w:lvlText w:val=""/>
      <w:lvlJc w:val="left"/>
    </w:lvl>
    <w:lvl w:ilvl="3" w:tplc="2E0604D2">
      <w:numFmt w:val="decimal"/>
      <w:lvlText w:val=""/>
      <w:lvlJc w:val="left"/>
    </w:lvl>
    <w:lvl w:ilvl="4" w:tplc="568EE02C">
      <w:numFmt w:val="decimal"/>
      <w:lvlText w:val=""/>
      <w:lvlJc w:val="left"/>
    </w:lvl>
    <w:lvl w:ilvl="5" w:tplc="9D0A0FF2">
      <w:numFmt w:val="decimal"/>
      <w:lvlText w:val=""/>
      <w:lvlJc w:val="left"/>
    </w:lvl>
    <w:lvl w:ilvl="6" w:tplc="22C6705E">
      <w:numFmt w:val="decimal"/>
      <w:lvlText w:val=""/>
      <w:lvlJc w:val="left"/>
    </w:lvl>
    <w:lvl w:ilvl="7" w:tplc="21960078">
      <w:numFmt w:val="decimal"/>
      <w:lvlText w:val=""/>
      <w:lvlJc w:val="left"/>
    </w:lvl>
    <w:lvl w:ilvl="8" w:tplc="5F1AD6C8">
      <w:numFmt w:val="decimal"/>
      <w:lvlText w:val=""/>
      <w:lvlJc w:val="left"/>
    </w:lvl>
  </w:abstractNum>
  <w:abstractNum w:abstractNumId="5">
    <w:nsid w:val="24EB1742"/>
    <w:multiLevelType w:val="hybridMultilevel"/>
    <w:tmpl w:val="B21EB926"/>
    <w:lvl w:ilvl="0" w:tplc="707A876E">
      <w:start w:val="1"/>
      <w:numFmt w:val="upperRoman"/>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80091"/>
    <w:multiLevelType w:val="hybridMultilevel"/>
    <w:tmpl w:val="1BD87F18"/>
    <w:lvl w:ilvl="0" w:tplc="5184B9F6">
      <w:start w:val="2"/>
      <w:numFmt w:val="upperLetter"/>
      <w:lvlText w:val="%1."/>
      <w:lvlJc w:val="left"/>
      <w:pPr>
        <w:ind w:left="1074" w:hanging="360"/>
      </w:pPr>
      <w:rPr>
        <w:rFonts w:hint="default"/>
        <w:i w:val="0"/>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
    <w:nsid w:val="35D61212"/>
    <w:multiLevelType w:val="hybridMultilevel"/>
    <w:tmpl w:val="14D45E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6F39FD"/>
    <w:multiLevelType w:val="hybridMultilevel"/>
    <w:tmpl w:val="9A8E9F48"/>
    <w:lvl w:ilvl="0" w:tplc="3C20F47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6"/>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2MzUytTA3MTEyN7BQ0lEKTi0uzszPAykwqgUAjUleNywAAAA="/>
  </w:docVars>
  <w:rsids>
    <w:rsidRoot w:val="00E85981"/>
    <w:rsid w:val="00011788"/>
    <w:rsid w:val="00015953"/>
    <w:rsid w:val="000248F7"/>
    <w:rsid w:val="00027E50"/>
    <w:rsid w:val="000302C0"/>
    <w:rsid w:val="00032334"/>
    <w:rsid w:val="0003269A"/>
    <w:rsid w:val="00034700"/>
    <w:rsid w:val="000428F7"/>
    <w:rsid w:val="00050A40"/>
    <w:rsid w:val="00054353"/>
    <w:rsid w:val="00071C9A"/>
    <w:rsid w:val="00081F32"/>
    <w:rsid w:val="00084EB9"/>
    <w:rsid w:val="000905E3"/>
    <w:rsid w:val="0009255C"/>
    <w:rsid w:val="000A1B55"/>
    <w:rsid w:val="000A4CCE"/>
    <w:rsid w:val="000A596F"/>
    <w:rsid w:val="000A60F1"/>
    <w:rsid w:val="000B67C5"/>
    <w:rsid w:val="000C0FF1"/>
    <w:rsid w:val="000C6273"/>
    <w:rsid w:val="000E7947"/>
    <w:rsid w:val="000F09C4"/>
    <w:rsid w:val="000F2D8E"/>
    <w:rsid w:val="00100414"/>
    <w:rsid w:val="00102023"/>
    <w:rsid w:val="00103924"/>
    <w:rsid w:val="00104551"/>
    <w:rsid w:val="00110819"/>
    <w:rsid w:val="00112161"/>
    <w:rsid w:val="00122703"/>
    <w:rsid w:val="0014235E"/>
    <w:rsid w:val="00142C92"/>
    <w:rsid w:val="00146FBC"/>
    <w:rsid w:val="001507FA"/>
    <w:rsid w:val="00157464"/>
    <w:rsid w:val="0016213E"/>
    <w:rsid w:val="001656C9"/>
    <w:rsid w:val="00167DFA"/>
    <w:rsid w:val="00173FAD"/>
    <w:rsid w:val="00175EC4"/>
    <w:rsid w:val="00176E7E"/>
    <w:rsid w:val="00180ED3"/>
    <w:rsid w:val="0018512A"/>
    <w:rsid w:val="00192F92"/>
    <w:rsid w:val="00195DB6"/>
    <w:rsid w:val="00197BA8"/>
    <w:rsid w:val="001A3A57"/>
    <w:rsid w:val="001B0298"/>
    <w:rsid w:val="001D714B"/>
    <w:rsid w:val="001E2E49"/>
    <w:rsid w:val="001F2188"/>
    <w:rsid w:val="001F77F4"/>
    <w:rsid w:val="002032A6"/>
    <w:rsid w:val="002045F1"/>
    <w:rsid w:val="002073D3"/>
    <w:rsid w:val="002109D4"/>
    <w:rsid w:val="00210E92"/>
    <w:rsid w:val="002116CE"/>
    <w:rsid w:val="0021179C"/>
    <w:rsid w:val="00223045"/>
    <w:rsid w:val="00231A2E"/>
    <w:rsid w:val="00240948"/>
    <w:rsid w:val="00242EB8"/>
    <w:rsid w:val="00255570"/>
    <w:rsid w:val="00262788"/>
    <w:rsid w:val="00270FD3"/>
    <w:rsid w:val="0027459E"/>
    <w:rsid w:val="002835CA"/>
    <w:rsid w:val="0029157A"/>
    <w:rsid w:val="00296006"/>
    <w:rsid w:val="0029729A"/>
    <w:rsid w:val="002A0ECD"/>
    <w:rsid w:val="002A4B94"/>
    <w:rsid w:val="002B1F07"/>
    <w:rsid w:val="002B313B"/>
    <w:rsid w:val="002C07FA"/>
    <w:rsid w:val="002C0BF9"/>
    <w:rsid w:val="002D25AA"/>
    <w:rsid w:val="002D366D"/>
    <w:rsid w:val="002E650A"/>
    <w:rsid w:val="003018DA"/>
    <w:rsid w:val="00305120"/>
    <w:rsid w:val="0033055C"/>
    <w:rsid w:val="003356F0"/>
    <w:rsid w:val="0034212E"/>
    <w:rsid w:val="00371103"/>
    <w:rsid w:val="003737BD"/>
    <w:rsid w:val="00375567"/>
    <w:rsid w:val="00375629"/>
    <w:rsid w:val="00386B69"/>
    <w:rsid w:val="003907E4"/>
    <w:rsid w:val="00393FA1"/>
    <w:rsid w:val="003A42BE"/>
    <w:rsid w:val="003A7C7B"/>
    <w:rsid w:val="003B03CB"/>
    <w:rsid w:val="003B04E2"/>
    <w:rsid w:val="003B242D"/>
    <w:rsid w:val="003B68BB"/>
    <w:rsid w:val="003C2BA7"/>
    <w:rsid w:val="003C4001"/>
    <w:rsid w:val="003C4997"/>
    <w:rsid w:val="003C6D48"/>
    <w:rsid w:val="003C7360"/>
    <w:rsid w:val="003C73BB"/>
    <w:rsid w:val="003C78D1"/>
    <w:rsid w:val="003D29C0"/>
    <w:rsid w:val="003D2F8B"/>
    <w:rsid w:val="003E110A"/>
    <w:rsid w:val="003E3665"/>
    <w:rsid w:val="003E7572"/>
    <w:rsid w:val="003E7867"/>
    <w:rsid w:val="003F2D36"/>
    <w:rsid w:val="003F2DC7"/>
    <w:rsid w:val="003F36F1"/>
    <w:rsid w:val="00405C58"/>
    <w:rsid w:val="0041215F"/>
    <w:rsid w:val="004204E4"/>
    <w:rsid w:val="004226E9"/>
    <w:rsid w:val="004227CC"/>
    <w:rsid w:val="0045349C"/>
    <w:rsid w:val="004610EF"/>
    <w:rsid w:val="00461DE5"/>
    <w:rsid w:val="00466386"/>
    <w:rsid w:val="00470299"/>
    <w:rsid w:val="00472F20"/>
    <w:rsid w:val="0047622D"/>
    <w:rsid w:val="00477AA2"/>
    <w:rsid w:val="00487014"/>
    <w:rsid w:val="004931B4"/>
    <w:rsid w:val="004945D5"/>
    <w:rsid w:val="00494717"/>
    <w:rsid w:val="00495FAF"/>
    <w:rsid w:val="004B58BB"/>
    <w:rsid w:val="004C2367"/>
    <w:rsid w:val="004C79B4"/>
    <w:rsid w:val="004D136D"/>
    <w:rsid w:val="004D27E5"/>
    <w:rsid w:val="004D3F81"/>
    <w:rsid w:val="004D4ABE"/>
    <w:rsid w:val="004D63F2"/>
    <w:rsid w:val="004D696F"/>
    <w:rsid w:val="004D7788"/>
    <w:rsid w:val="004E24CF"/>
    <w:rsid w:val="004E3968"/>
    <w:rsid w:val="004E4AA6"/>
    <w:rsid w:val="004E5A29"/>
    <w:rsid w:val="004F0C3C"/>
    <w:rsid w:val="004F76FD"/>
    <w:rsid w:val="004F799A"/>
    <w:rsid w:val="00500EFB"/>
    <w:rsid w:val="00503069"/>
    <w:rsid w:val="005055BC"/>
    <w:rsid w:val="00506E54"/>
    <w:rsid w:val="00517101"/>
    <w:rsid w:val="00523997"/>
    <w:rsid w:val="005259A9"/>
    <w:rsid w:val="00532CD2"/>
    <w:rsid w:val="005435E0"/>
    <w:rsid w:val="0054536D"/>
    <w:rsid w:val="00555173"/>
    <w:rsid w:val="00560D52"/>
    <w:rsid w:val="005621D9"/>
    <w:rsid w:val="00562850"/>
    <w:rsid w:val="00565F40"/>
    <w:rsid w:val="0056756F"/>
    <w:rsid w:val="005747AA"/>
    <w:rsid w:val="005826F1"/>
    <w:rsid w:val="00590C62"/>
    <w:rsid w:val="00591CE8"/>
    <w:rsid w:val="00592413"/>
    <w:rsid w:val="005953FC"/>
    <w:rsid w:val="005A1F63"/>
    <w:rsid w:val="005A251D"/>
    <w:rsid w:val="005A3B2F"/>
    <w:rsid w:val="005A3DD1"/>
    <w:rsid w:val="005B2F22"/>
    <w:rsid w:val="005B3B64"/>
    <w:rsid w:val="005C1D7E"/>
    <w:rsid w:val="005C7D88"/>
    <w:rsid w:val="005D3B6D"/>
    <w:rsid w:val="005E110E"/>
    <w:rsid w:val="005E39FA"/>
    <w:rsid w:val="00603806"/>
    <w:rsid w:val="006040D1"/>
    <w:rsid w:val="0060779C"/>
    <w:rsid w:val="00612A78"/>
    <w:rsid w:val="00613681"/>
    <w:rsid w:val="006138A7"/>
    <w:rsid w:val="0061578E"/>
    <w:rsid w:val="006220C8"/>
    <w:rsid w:val="006225AB"/>
    <w:rsid w:val="00624829"/>
    <w:rsid w:val="006420C7"/>
    <w:rsid w:val="00643158"/>
    <w:rsid w:val="00643FAA"/>
    <w:rsid w:val="00651030"/>
    <w:rsid w:val="006513CC"/>
    <w:rsid w:val="00655716"/>
    <w:rsid w:val="006557DD"/>
    <w:rsid w:val="006652CF"/>
    <w:rsid w:val="00665500"/>
    <w:rsid w:val="00671A38"/>
    <w:rsid w:val="006730DB"/>
    <w:rsid w:val="006734E7"/>
    <w:rsid w:val="0067406A"/>
    <w:rsid w:val="00695BF3"/>
    <w:rsid w:val="00696E5F"/>
    <w:rsid w:val="006A065E"/>
    <w:rsid w:val="006A2A56"/>
    <w:rsid w:val="006A49BE"/>
    <w:rsid w:val="006A6CE4"/>
    <w:rsid w:val="006A7A5D"/>
    <w:rsid w:val="006A7E23"/>
    <w:rsid w:val="006B070A"/>
    <w:rsid w:val="006C06DC"/>
    <w:rsid w:val="006C2E30"/>
    <w:rsid w:val="006C36DA"/>
    <w:rsid w:val="006C64C0"/>
    <w:rsid w:val="006D119A"/>
    <w:rsid w:val="006D66D5"/>
    <w:rsid w:val="006E5B1E"/>
    <w:rsid w:val="006F1F60"/>
    <w:rsid w:val="00700380"/>
    <w:rsid w:val="00701819"/>
    <w:rsid w:val="007078C0"/>
    <w:rsid w:val="00712D62"/>
    <w:rsid w:val="007162B9"/>
    <w:rsid w:val="0072733D"/>
    <w:rsid w:val="00730213"/>
    <w:rsid w:val="007335B7"/>
    <w:rsid w:val="00746374"/>
    <w:rsid w:val="007529A4"/>
    <w:rsid w:val="00755590"/>
    <w:rsid w:val="007604AD"/>
    <w:rsid w:val="007646B9"/>
    <w:rsid w:val="00777B55"/>
    <w:rsid w:val="00781804"/>
    <w:rsid w:val="00783869"/>
    <w:rsid w:val="007A205B"/>
    <w:rsid w:val="007A5271"/>
    <w:rsid w:val="007A7357"/>
    <w:rsid w:val="007B29B0"/>
    <w:rsid w:val="007B2B86"/>
    <w:rsid w:val="007C65ED"/>
    <w:rsid w:val="007D2EB0"/>
    <w:rsid w:val="007E1FAC"/>
    <w:rsid w:val="007E45C5"/>
    <w:rsid w:val="007E4AC1"/>
    <w:rsid w:val="007F10EF"/>
    <w:rsid w:val="007F1B50"/>
    <w:rsid w:val="00800FA1"/>
    <w:rsid w:val="0080184E"/>
    <w:rsid w:val="0081268E"/>
    <w:rsid w:val="00815475"/>
    <w:rsid w:val="0081557B"/>
    <w:rsid w:val="00817777"/>
    <w:rsid w:val="008222F2"/>
    <w:rsid w:val="00823EBF"/>
    <w:rsid w:val="008252F2"/>
    <w:rsid w:val="00826BB6"/>
    <w:rsid w:val="00831ED3"/>
    <w:rsid w:val="00843180"/>
    <w:rsid w:val="00844725"/>
    <w:rsid w:val="00851F2A"/>
    <w:rsid w:val="00853D31"/>
    <w:rsid w:val="008560E4"/>
    <w:rsid w:val="00860235"/>
    <w:rsid w:val="0086221C"/>
    <w:rsid w:val="008625A7"/>
    <w:rsid w:val="00864578"/>
    <w:rsid w:val="00865D0D"/>
    <w:rsid w:val="00866963"/>
    <w:rsid w:val="0087105C"/>
    <w:rsid w:val="00873CEF"/>
    <w:rsid w:val="008763DD"/>
    <w:rsid w:val="008773DA"/>
    <w:rsid w:val="00880FD9"/>
    <w:rsid w:val="0089021A"/>
    <w:rsid w:val="00894ADC"/>
    <w:rsid w:val="00897489"/>
    <w:rsid w:val="008A3AF8"/>
    <w:rsid w:val="008B2F97"/>
    <w:rsid w:val="008D2932"/>
    <w:rsid w:val="008E050C"/>
    <w:rsid w:val="008E0DC5"/>
    <w:rsid w:val="008E3FBE"/>
    <w:rsid w:val="008E438E"/>
    <w:rsid w:val="008E448C"/>
    <w:rsid w:val="008F010B"/>
    <w:rsid w:val="008F0E74"/>
    <w:rsid w:val="008F2E6E"/>
    <w:rsid w:val="008F4A68"/>
    <w:rsid w:val="008F52EE"/>
    <w:rsid w:val="00923FA1"/>
    <w:rsid w:val="00924AC5"/>
    <w:rsid w:val="00927263"/>
    <w:rsid w:val="00930586"/>
    <w:rsid w:val="00930A5E"/>
    <w:rsid w:val="009346C8"/>
    <w:rsid w:val="00935478"/>
    <w:rsid w:val="00945411"/>
    <w:rsid w:val="00952D83"/>
    <w:rsid w:val="009545D8"/>
    <w:rsid w:val="00957DA5"/>
    <w:rsid w:val="00974654"/>
    <w:rsid w:val="00974C34"/>
    <w:rsid w:val="00980444"/>
    <w:rsid w:val="00986D6C"/>
    <w:rsid w:val="0099131F"/>
    <w:rsid w:val="009914B2"/>
    <w:rsid w:val="009939FB"/>
    <w:rsid w:val="009B4A89"/>
    <w:rsid w:val="009B7D87"/>
    <w:rsid w:val="009C0531"/>
    <w:rsid w:val="009C3FF3"/>
    <w:rsid w:val="009D7C0C"/>
    <w:rsid w:val="009E1930"/>
    <w:rsid w:val="009E1B4E"/>
    <w:rsid w:val="009E4A96"/>
    <w:rsid w:val="009F1EA1"/>
    <w:rsid w:val="009F7BF0"/>
    <w:rsid w:val="00A019AB"/>
    <w:rsid w:val="00A019F1"/>
    <w:rsid w:val="00A01E08"/>
    <w:rsid w:val="00A034B8"/>
    <w:rsid w:val="00A06108"/>
    <w:rsid w:val="00A10C7A"/>
    <w:rsid w:val="00A1665B"/>
    <w:rsid w:val="00A229B3"/>
    <w:rsid w:val="00A26048"/>
    <w:rsid w:val="00A3400A"/>
    <w:rsid w:val="00A34CEE"/>
    <w:rsid w:val="00A360D2"/>
    <w:rsid w:val="00A364F6"/>
    <w:rsid w:val="00A4030A"/>
    <w:rsid w:val="00A42CF6"/>
    <w:rsid w:val="00A43510"/>
    <w:rsid w:val="00A45321"/>
    <w:rsid w:val="00A52AE4"/>
    <w:rsid w:val="00A5630D"/>
    <w:rsid w:val="00A644D0"/>
    <w:rsid w:val="00A65229"/>
    <w:rsid w:val="00A672C0"/>
    <w:rsid w:val="00A833FE"/>
    <w:rsid w:val="00A907F1"/>
    <w:rsid w:val="00A91326"/>
    <w:rsid w:val="00AA18F1"/>
    <w:rsid w:val="00AA4155"/>
    <w:rsid w:val="00AA6BCF"/>
    <w:rsid w:val="00AB0085"/>
    <w:rsid w:val="00AB2482"/>
    <w:rsid w:val="00AB49F5"/>
    <w:rsid w:val="00AB4BF9"/>
    <w:rsid w:val="00AB7C87"/>
    <w:rsid w:val="00AC03C1"/>
    <w:rsid w:val="00AC37D5"/>
    <w:rsid w:val="00AD0885"/>
    <w:rsid w:val="00AE6B23"/>
    <w:rsid w:val="00AE7152"/>
    <w:rsid w:val="00AF68A9"/>
    <w:rsid w:val="00AF7F7E"/>
    <w:rsid w:val="00B02315"/>
    <w:rsid w:val="00B10157"/>
    <w:rsid w:val="00B1644C"/>
    <w:rsid w:val="00B2268B"/>
    <w:rsid w:val="00B23570"/>
    <w:rsid w:val="00B310EB"/>
    <w:rsid w:val="00B310F8"/>
    <w:rsid w:val="00B350A9"/>
    <w:rsid w:val="00B3545E"/>
    <w:rsid w:val="00B4177F"/>
    <w:rsid w:val="00B41CBD"/>
    <w:rsid w:val="00B56653"/>
    <w:rsid w:val="00B61AEE"/>
    <w:rsid w:val="00B65DF3"/>
    <w:rsid w:val="00B70C15"/>
    <w:rsid w:val="00B80930"/>
    <w:rsid w:val="00B83098"/>
    <w:rsid w:val="00B86595"/>
    <w:rsid w:val="00B938FD"/>
    <w:rsid w:val="00B96E31"/>
    <w:rsid w:val="00B97811"/>
    <w:rsid w:val="00BB191E"/>
    <w:rsid w:val="00BB34E8"/>
    <w:rsid w:val="00BB3600"/>
    <w:rsid w:val="00BB679C"/>
    <w:rsid w:val="00BB795C"/>
    <w:rsid w:val="00BC7FD4"/>
    <w:rsid w:val="00BD21D3"/>
    <w:rsid w:val="00BD2412"/>
    <w:rsid w:val="00BD6E4D"/>
    <w:rsid w:val="00BD71F7"/>
    <w:rsid w:val="00BD784C"/>
    <w:rsid w:val="00BE2B7E"/>
    <w:rsid w:val="00BE3DAC"/>
    <w:rsid w:val="00BE4C44"/>
    <w:rsid w:val="00BE7FED"/>
    <w:rsid w:val="00BF487C"/>
    <w:rsid w:val="00BF4D2D"/>
    <w:rsid w:val="00BF5935"/>
    <w:rsid w:val="00C0013D"/>
    <w:rsid w:val="00C00F19"/>
    <w:rsid w:val="00C066AF"/>
    <w:rsid w:val="00C15047"/>
    <w:rsid w:val="00C36D4C"/>
    <w:rsid w:val="00C5370E"/>
    <w:rsid w:val="00C54E1C"/>
    <w:rsid w:val="00C56947"/>
    <w:rsid w:val="00C57188"/>
    <w:rsid w:val="00C65802"/>
    <w:rsid w:val="00C70F69"/>
    <w:rsid w:val="00C74A2C"/>
    <w:rsid w:val="00C7705D"/>
    <w:rsid w:val="00C77E60"/>
    <w:rsid w:val="00C82435"/>
    <w:rsid w:val="00C94EAE"/>
    <w:rsid w:val="00CA073A"/>
    <w:rsid w:val="00CA1068"/>
    <w:rsid w:val="00CB33A5"/>
    <w:rsid w:val="00CB40EC"/>
    <w:rsid w:val="00CB7F66"/>
    <w:rsid w:val="00CC0DDE"/>
    <w:rsid w:val="00CC3BFC"/>
    <w:rsid w:val="00CC56AF"/>
    <w:rsid w:val="00CC7BEB"/>
    <w:rsid w:val="00CD50CA"/>
    <w:rsid w:val="00CE4C0F"/>
    <w:rsid w:val="00CF049D"/>
    <w:rsid w:val="00CF18DC"/>
    <w:rsid w:val="00CF3440"/>
    <w:rsid w:val="00CF38A0"/>
    <w:rsid w:val="00CF3C7A"/>
    <w:rsid w:val="00D10044"/>
    <w:rsid w:val="00D14DED"/>
    <w:rsid w:val="00D17FA3"/>
    <w:rsid w:val="00D20A0B"/>
    <w:rsid w:val="00D21066"/>
    <w:rsid w:val="00D250F1"/>
    <w:rsid w:val="00D30388"/>
    <w:rsid w:val="00D307F4"/>
    <w:rsid w:val="00D30E3D"/>
    <w:rsid w:val="00D32E7C"/>
    <w:rsid w:val="00D4145D"/>
    <w:rsid w:val="00D42CF2"/>
    <w:rsid w:val="00D43E5C"/>
    <w:rsid w:val="00D4443B"/>
    <w:rsid w:val="00D44C48"/>
    <w:rsid w:val="00D44F81"/>
    <w:rsid w:val="00D478CB"/>
    <w:rsid w:val="00D52169"/>
    <w:rsid w:val="00D52F3E"/>
    <w:rsid w:val="00D6526F"/>
    <w:rsid w:val="00D65A5F"/>
    <w:rsid w:val="00D66409"/>
    <w:rsid w:val="00D66CB1"/>
    <w:rsid w:val="00D75208"/>
    <w:rsid w:val="00D760D4"/>
    <w:rsid w:val="00D812CE"/>
    <w:rsid w:val="00D8206F"/>
    <w:rsid w:val="00D82245"/>
    <w:rsid w:val="00D835C1"/>
    <w:rsid w:val="00D84B26"/>
    <w:rsid w:val="00D85055"/>
    <w:rsid w:val="00D87052"/>
    <w:rsid w:val="00D87EED"/>
    <w:rsid w:val="00D93C1E"/>
    <w:rsid w:val="00DA65DF"/>
    <w:rsid w:val="00DA6DD5"/>
    <w:rsid w:val="00DB7AE7"/>
    <w:rsid w:val="00DC6364"/>
    <w:rsid w:val="00DD0D16"/>
    <w:rsid w:val="00DD2646"/>
    <w:rsid w:val="00DD3BE6"/>
    <w:rsid w:val="00DD4780"/>
    <w:rsid w:val="00DE00C5"/>
    <w:rsid w:val="00DE7C83"/>
    <w:rsid w:val="00DF02FD"/>
    <w:rsid w:val="00DF256B"/>
    <w:rsid w:val="00DF2EE3"/>
    <w:rsid w:val="00DF7053"/>
    <w:rsid w:val="00E006FF"/>
    <w:rsid w:val="00E04D22"/>
    <w:rsid w:val="00E23DA9"/>
    <w:rsid w:val="00E25A11"/>
    <w:rsid w:val="00E30056"/>
    <w:rsid w:val="00E30532"/>
    <w:rsid w:val="00E34330"/>
    <w:rsid w:val="00E355B1"/>
    <w:rsid w:val="00E42B9F"/>
    <w:rsid w:val="00E46C68"/>
    <w:rsid w:val="00E474A0"/>
    <w:rsid w:val="00E5256B"/>
    <w:rsid w:val="00E53C2B"/>
    <w:rsid w:val="00E55391"/>
    <w:rsid w:val="00E6025C"/>
    <w:rsid w:val="00E65A81"/>
    <w:rsid w:val="00E66261"/>
    <w:rsid w:val="00E67326"/>
    <w:rsid w:val="00E7083A"/>
    <w:rsid w:val="00E8055C"/>
    <w:rsid w:val="00E8359A"/>
    <w:rsid w:val="00E84322"/>
    <w:rsid w:val="00E85981"/>
    <w:rsid w:val="00E904D6"/>
    <w:rsid w:val="00E9193D"/>
    <w:rsid w:val="00E93F09"/>
    <w:rsid w:val="00E956E7"/>
    <w:rsid w:val="00E9617C"/>
    <w:rsid w:val="00EB1852"/>
    <w:rsid w:val="00EB1F47"/>
    <w:rsid w:val="00EB2791"/>
    <w:rsid w:val="00EB4CCA"/>
    <w:rsid w:val="00EB6831"/>
    <w:rsid w:val="00EC2712"/>
    <w:rsid w:val="00EC774E"/>
    <w:rsid w:val="00ED5A08"/>
    <w:rsid w:val="00EF09C0"/>
    <w:rsid w:val="00EF1FD6"/>
    <w:rsid w:val="00F023BF"/>
    <w:rsid w:val="00F030C8"/>
    <w:rsid w:val="00F052CB"/>
    <w:rsid w:val="00F05774"/>
    <w:rsid w:val="00F06AE4"/>
    <w:rsid w:val="00F15862"/>
    <w:rsid w:val="00F1625A"/>
    <w:rsid w:val="00F21A63"/>
    <w:rsid w:val="00F348E8"/>
    <w:rsid w:val="00F37572"/>
    <w:rsid w:val="00F4509E"/>
    <w:rsid w:val="00F47248"/>
    <w:rsid w:val="00F51952"/>
    <w:rsid w:val="00F62D44"/>
    <w:rsid w:val="00F74F3B"/>
    <w:rsid w:val="00F77F36"/>
    <w:rsid w:val="00F80230"/>
    <w:rsid w:val="00F810B2"/>
    <w:rsid w:val="00F82D10"/>
    <w:rsid w:val="00F90820"/>
    <w:rsid w:val="00F91FEE"/>
    <w:rsid w:val="00F93DC0"/>
    <w:rsid w:val="00FA12AD"/>
    <w:rsid w:val="00FB2289"/>
    <w:rsid w:val="00FB44F2"/>
    <w:rsid w:val="00FC628C"/>
    <w:rsid w:val="00FC6CFC"/>
    <w:rsid w:val="00FD35FF"/>
    <w:rsid w:val="00FE6CDA"/>
    <w:rsid w:val="00FF2F99"/>
    <w:rsid w:val="72A6D6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B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65B"/>
  </w:style>
  <w:style w:type="paragraph" w:styleId="Footer">
    <w:name w:val="footer"/>
    <w:basedOn w:val="Normal"/>
    <w:link w:val="FooterChar"/>
    <w:uiPriority w:val="99"/>
    <w:unhideWhenUsed/>
    <w:rsid w:val="00A1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65B"/>
  </w:style>
  <w:style w:type="table" w:styleId="TableGrid">
    <w:name w:val="Table Grid"/>
    <w:basedOn w:val="TableNormal"/>
    <w:uiPriority w:val="39"/>
    <w:rsid w:val="00582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3C78D1"/>
    <w:pPr>
      <w:spacing w:after="0" w:line="240" w:lineRule="auto"/>
    </w:pPr>
    <w:rPr>
      <w:sz w:val="20"/>
      <w:szCs w:val="20"/>
    </w:rPr>
  </w:style>
  <w:style w:type="character" w:customStyle="1" w:styleId="FootnoteTextChar">
    <w:name w:val="Footnote Text Char"/>
    <w:basedOn w:val="DefaultParagraphFont"/>
    <w:link w:val="FootnoteText"/>
    <w:rsid w:val="003C78D1"/>
    <w:rPr>
      <w:sz w:val="20"/>
      <w:szCs w:val="20"/>
    </w:rPr>
  </w:style>
  <w:style w:type="character" w:styleId="FootnoteReference">
    <w:name w:val="footnote reference"/>
    <w:basedOn w:val="DefaultParagraphFont"/>
    <w:uiPriority w:val="99"/>
    <w:unhideWhenUsed/>
    <w:rsid w:val="003C78D1"/>
    <w:rPr>
      <w:vertAlign w:val="superscript"/>
    </w:rPr>
  </w:style>
  <w:style w:type="paragraph" w:styleId="ListParagraph">
    <w:name w:val="List Paragraph"/>
    <w:basedOn w:val="Normal"/>
    <w:uiPriority w:val="34"/>
    <w:qFormat/>
    <w:rsid w:val="00DD3BE6"/>
    <w:pPr>
      <w:ind w:left="720"/>
      <w:contextualSpacing/>
    </w:pPr>
  </w:style>
  <w:style w:type="character" w:customStyle="1" w:styleId="apple-converted-space">
    <w:name w:val="apple-converted-space"/>
    <w:rsid w:val="00DD3BE6"/>
  </w:style>
  <w:style w:type="character" w:styleId="Hyperlink">
    <w:name w:val="Hyperlink"/>
    <w:basedOn w:val="DefaultParagraphFont"/>
    <w:uiPriority w:val="99"/>
    <w:unhideWhenUsed/>
    <w:rsid w:val="00DD3BE6"/>
    <w:rPr>
      <w:color w:val="0000FF" w:themeColor="hyperlink"/>
      <w:u w:val="single"/>
    </w:rPr>
  </w:style>
  <w:style w:type="paragraph" w:styleId="NoSpacing">
    <w:name w:val="No Spacing"/>
    <w:uiPriority w:val="1"/>
    <w:qFormat/>
    <w:rsid w:val="006C64C0"/>
    <w:pPr>
      <w:spacing w:after="0" w:line="240" w:lineRule="auto"/>
    </w:pPr>
  </w:style>
  <w:style w:type="character" w:styleId="CommentReference">
    <w:name w:val="annotation reference"/>
    <w:basedOn w:val="DefaultParagraphFont"/>
    <w:uiPriority w:val="99"/>
    <w:semiHidden/>
    <w:unhideWhenUsed/>
    <w:rsid w:val="00D44C48"/>
    <w:rPr>
      <w:sz w:val="18"/>
      <w:szCs w:val="18"/>
    </w:rPr>
  </w:style>
  <w:style w:type="paragraph" w:styleId="CommentText">
    <w:name w:val="annotation text"/>
    <w:basedOn w:val="Normal"/>
    <w:link w:val="CommentTextChar"/>
    <w:uiPriority w:val="99"/>
    <w:semiHidden/>
    <w:unhideWhenUsed/>
    <w:rsid w:val="00D44C48"/>
    <w:pPr>
      <w:spacing w:line="240" w:lineRule="auto"/>
    </w:pPr>
    <w:rPr>
      <w:sz w:val="24"/>
      <w:szCs w:val="24"/>
    </w:rPr>
  </w:style>
  <w:style w:type="character" w:customStyle="1" w:styleId="CommentTextChar">
    <w:name w:val="Comment Text Char"/>
    <w:basedOn w:val="DefaultParagraphFont"/>
    <w:link w:val="CommentText"/>
    <w:uiPriority w:val="99"/>
    <w:semiHidden/>
    <w:rsid w:val="00D44C48"/>
    <w:rPr>
      <w:sz w:val="24"/>
      <w:szCs w:val="24"/>
    </w:rPr>
  </w:style>
  <w:style w:type="paragraph" w:styleId="CommentSubject">
    <w:name w:val="annotation subject"/>
    <w:basedOn w:val="CommentText"/>
    <w:next w:val="CommentText"/>
    <w:link w:val="CommentSubjectChar"/>
    <w:uiPriority w:val="99"/>
    <w:semiHidden/>
    <w:unhideWhenUsed/>
    <w:rsid w:val="00D44C48"/>
    <w:rPr>
      <w:b/>
      <w:bCs/>
      <w:sz w:val="20"/>
      <w:szCs w:val="20"/>
    </w:rPr>
  </w:style>
  <w:style w:type="character" w:customStyle="1" w:styleId="CommentSubjectChar">
    <w:name w:val="Comment Subject Char"/>
    <w:basedOn w:val="CommentTextChar"/>
    <w:link w:val="CommentSubject"/>
    <w:uiPriority w:val="99"/>
    <w:semiHidden/>
    <w:rsid w:val="00D44C48"/>
    <w:rPr>
      <w:b/>
      <w:bCs/>
      <w:sz w:val="20"/>
      <w:szCs w:val="20"/>
    </w:rPr>
  </w:style>
  <w:style w:type="paragraph" w:styleId="BalloonText">
    <w:name w:val="Balloon Text"/>
    <w:basedOn w:val="Normal"/>
    <w:link w:val="BalloonTextChar"/>
    <w:uiPriority w:val="99"/>
    <w:semiHidden/>
    <w:unhideWhenUsed/>
    <w:rsid w:val="00D44C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C48"/>
    <w:rPr>
      <w:rFonts w:ascii="Times New Roman" w:hAnsi="Times New Roman" w:cs="Times New Roman"/>
      <w:sz w:val="18"/>
      <w:szCs w:val="18"/>
    </w:rPr>
  </w:style>
  <w:style w:type="paragraph" w:styleId="Revision">
    <w:name w:val="Revision"/>
    <w:hidden/>
    <w:uiPriority w:val="99"/>
    <w:semiHidden/>
    <w:rsid w:val="008560E4"/>
    <w:pPr>
      <w:spacing w:after="0" w:line="240" w:lineRule="auto"/>
    </w:pPr>
  </w:style>
  <w:style w:type="character" w:styleId="FollowedHyperlink">
    <w:name w:val="FollowedHyperlink"/>
    <w:basedOn w:val="DefaultParagraphFont"/>
    <w:uiPriority w:val="99"/>
    <w:semiHidden/>
    <w:unhideWhenUsed/>
    <w:rsid w:val="007B29B0"/>
    <w:rPr>
      <w:color w:val="800080" w:themeColor="followedHyperlink"/>
      <w:u w:val="single"/>
    </w:rPr>
  </w:style>
  <w:style w:type="paragraph" w:styleId="TOC2">
    <w:name w:val="toc 2"/>
    <w:basedOn w:val="Normal"/>
    <w:next w:val="Normal"/>
    <w:autoRedefine/>
    <w:uiPriority w:val="39"/>
    <w:unhideWhenUsed/>
    <w:rsid w:val="00B23570"/>
    <w:pPr>
      <w:spacing w:after="0" w:line="240" w:lineRule="auto"/>
      <w:ind w:left="240"/>
    </w:pPr>
    <w:rPr>
      <w:rFonts w:eastAsiaTheme="minorEastAsia"/>
      <w:smallCaps/>
      <w:lang w:val="en-US"/>
    </w:rPr>
  </w:style>
  <w:style w:type="paragraph" w:styleId="EndnoteText">
    <w:name w:val="endnote text"/>
    <w:basedOn w:val="Normal"/>
    <w:link w:val="EndnoteTextChar"/>
    <w:uiPriority w:val="99"/>
    <w:unhideWhenUsed/>
    <w:rsid w:val="00157464"/>
    <w:pPr>
      <w:spacing w:after="0" w:line="240" w:lineRule="auto"/>
    </w:pPr>
    <w:rPr>
      <w:sz w:val="24"/>
      <w:szCs w:val="24"/>
    </w:rPr>
  </w:style>
  <w:style w:type="character" w:customStyle="1" w:styleId="EndnoteTextChar">
    <w:name w:val="Endnote Text Char"/>
    <w:basedOn w:val="DefaultParagraphFont"/>
    <w:link w:val="EndnoteText"/>
    <w:uiPriority w:val="99"/>
    <w:rsid w:val="00157464"/>
    <w:rPr>
      <w:sz w:val="24"/>
      <w:szCs w:val="24"/>
    </w:rPr>
  </w:style>
  <w:style w:type="character" w:styleId="EndnoteReference">
    <w:name w:val="endnote reference"/>
    <w:basedOn w:val="DefaultParagraphFont"/>
    <w:uiPriority w:val="99"/>
    <w:unhideWhenUsed/>
    <w:rsid w:val="0015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2969">
      <w:bodyDiv w:val="1"/>
      <w:marLeft w:val="0"/>
      <w:marRight w:val="0"/>
      <w:marTop w:val="0"/>
      <w:marBottom w:val="0"/>
      <w:divBdr>
        <w:top w:val="none" w:sz="0" w:space="0" w:color="auto"/>
        <w:left w:val="none" w:sz="0" w:space="0" w:color="auto"/>
        <w:bottom w:val="none" w:sz="0" w:space="0" w:color="auto"/>
        <w:right w:val="none" w:sz="0" w:space="0" w:color="auto"/>
      </w:divBdr>
    </w:div>
    <w:div w:id="1743680476">
      <w:bodyDiv w:val="1"/>
      <w:marLeft w:val="0"/>
      <w:marRight w:val="0"/>
      <w:marTop w:val="0"/>
      <w:marBottom w:val="0"/>
      <w:divBdr>
        <w:top w:val="none" w:sz="0" w:space="0" w:color="auto"/>
        <w:left w:val="none" w:sz="0" w:space="0" w:color="auto"/>
        <w:bottom w:val="none" w:sz="0" w:space="0" w:color="auto"/>
        <w:right w:val="none" w:sz="0" w:space="0" w:color="auto"/>
      </w:divBdr>
      <w:divsChild>
        <w:div w:id="135018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3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43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0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51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FE00-8B20-8F42-BA2F-41F6F0BF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5951</Words>
  <Characters>33924</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2017-08-20T06:26:00Z</dcterms:created>
  <dcterms:modified xsi:type="dcterms:W3CDTF">2017-08-20T06:26:00Z</dcterms:modified>
</cp:coreProperties>
</file>