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E75B" w14:textId="77777777" w:rsidR="00CA7C3E" w:rsidRPr="00207E50" w:rsidRDefault="00CA7C3E" w:rsidP="0004351D">
      <w:pPr>
        <w:jc w:val="both"/>
        <w:rPr>
          <w:rFonts w:ascii="Arial" w:hAnsi="Arial" w:cs="Arial"/>
          <w:b/>
          <w:lang w:val="en-AU"/>
        </w:rPr>
      </w:pPr>
      <w:bookmarkStart w:id="0" w:name="_GoBack"/>
      <w:bookmarkEnd w:id="0"/>
      <w:r>
        <w:rPr>
          <w:rFonts w:ascii="Arial" w:hAnsi="Arial" w:cs="Arial"/>
          <w:b/>
          <w:lang w:val="en-AU"/>
        </w:rPr>
        <w:t>TITLE PAGE</w:t>
      </w:r>
    </w:p>
    <w:p w14:paraId="5EF442A8" w14:textId="77777777" w:rsidR="00CA7C3E" w:rsidRDefault="00CA7C3E" w:rsidP="00CA7C3E">
      <w:pPr>
        <w:jc w:val="both"/>
        <w:rPr>
          <w:rFonts w:ascii="Arial" w:hAnsi="Arial" w:cs="Arial"/>
          <w:b/>
          <w:lang w:val="en-AU"/>
        </w:rPr>
      </w:pPr>
    </w:p>
    <w:p w14:paraId="40555ACD" w14:textId="77777777" w:rsidR="00CA7C3E" w:rsidRDefault="00CA7C3E" w:rsidP="00CA7C3E">
      <w:pPr>
        <w:jc w:val="both"/>
        <w:rPr>
          <w:rFonts w:ascii="Arial" w:hAnsi="Arial" w:cs="Arial"/>
          <w:b/>
          <w:lang w:val="en-AU"/>
        </w:rPr>
      </w:pPr>
    </w:p>
    <w:p w14:paraId="25893E52" w14:textId="77777777" w:rsidR="00CA7C3E" w:rsidRPr="00B95BB1" w:rsidRDefault="00CA7C3E" w:rsidP="00CA7C3E">
      <w:pPr>
        <w:jc w:val="both"/>
        <w:rPr>
          <w:rFonts w:ascii="Arial" w:hAnsi="Arial" w:cs="Arial"/>
          <w:lang w:val="en-AU"/>
        </w:rPr>
      </w:pPr>
      <w:r w:rsidRPr="00B95BB1">
        <w:rPr>
          <w:rFonts w:ascii="Arial" w:hAnsi="Arial" w:cs="Arial"/>
          <w:b/>
          <w:lang w:val="en-AU"/>
        </w:rPr>
        <w:t>Full Title</w:t>
      </w:r>
    </w:p>
    <w:p w14:paraId="1D288D15" w14:textId="290EC925" w:rsidR="00CA7C3E" w:rsidRPr="00B95BB1" w:rsidRDefault="00DD1611" w:rsidP="00CA7C3E">
      <w:pPr>
        <w:jc w:val="both"/>
        <w:rPr>
          <w:rFonts w:ascii="Arial" w:hAnsi="Arial" w:cs="Arial"/>
          <w:lang w:val="en-AU"/>
        </w:rPr>
      </w:pPr>
      <w:r w:rsidRPr="00DD1611">
        <w:rPr>
          <w:rFonts w:ascii="Arial" w:hAnsi="Arial" w:cs="Arial"/>
          <w:lang w:val="en-AU"/>
        </w:rPr>
        <w:t xml:space="preserve">Transfusion rates with </w:t>
      </w:r>
      <w:r w:rsidR="00FD10D3">
        <w:rPr>
          <w:rFonts w:ascii="Arial" w:hAnsi="Arial" w:cs="Arial"/>
          <w:lang w:val="en-AU"/>
        </w:rPr>
        <w:t xml:space="preserve">intravenous </w:t>
      </w:r>
      <w:r w:rsidRPr="00DD1611">
        <w:rPr>
          <w:rFonts w:ascii="Arial" w:hAnsi="Arial" w:cs="Arial"/>
          <w:lang w:val="en-AU"/>
        </w:rPr>
        <w:t>tranexamic acid in total hip arthroplasty performed using the direct anterior approach</w:t>
      </w:r>
    </w:p>
    <w:p w14:paraId="37B9286F" w14:textId="77777777" w:rsidR="00CA7C3E" w:rsidRPr="00B95BB1" w:rsidRDefault="00CA7C3E" w:rsidP="00CA7C3E">
      <w:pPr>
        <w:jc w:val="both"/>
        <w:rPr>
          <w:rFonts w:ascii="Arial" w:hAnsi="Arial" w:cs="Arial"/>
          <w:lang w:val="en-AU"/>
        </w:rPr>
      </w:pPr>
    </w:p>
    <w:p w14:paraId="555100F1" w14:textId="77777777" w:rsidR="00CA7C3E" w:rsidRPr="00B95BB1" w:rsidRDefault="00CA7C3E" w:rsidP="00CA7C3E">
      <w:pPr>
        <w:jc w:val="both"/>
        <w:rPr>
          <w:rFonts w:ascii="Arial" w:hAnsi="Arial" w:cs="Arial"/>
          <w:lang w:val="en-AU"/>
        </w:rPr>
      </w:pPr>
    </w:p>
    <w:p w14:paraId="1F9DF67E" w14:textId="77777777" w:rsidR="00CA7C3E" w:rsidRPr="00B95BB1" w:rsidRDefault="00CA7C3E" w:rsidP="00CA7C3E">
      <w:pPr>
        <w:jc w:val="both"/>
        <w:rPr>
          <w:rFonts w:ascii="Arial" w:hAnsi="Arial" w:cs="Arial"/>
          <w:b/>
          <w:lang w:val="en-AU"/>
        </w:rPr>
      </w:pPr>
      <w:r w:rsidRPr="00B95BB1">
        <w:rPr>
          <w:rFonts w:ascii="Arial" w:hAnsi="Arial" w:cs="Arial"/>
          <w:b/>
          <w:lang w:val="en-AU"/>
        </w:rPr>
        <w:t>Authors</w:t>
      </w:r>
    </w:p>
    <w:p w14:paraId="0A060A8E" w14:textId="77777777" w:rsidR="00CA7C3E" w:rsidRPr="00B95BB1" w:rsidRDefault="00CA7C3E" w:rsidP="00CA7C3E">
      <w:pPr>
        <w:jc w:val="both"/>
        <w:rPr>
          <w:rFonts w:ascii="Arial" w:hAnsi="Arial" w:cs="Arial"/>
          <w:vertAlign w:val="subscript"/>
          <w:lang w:val="en-AU"/>
        </w:rPr>
      </w:pPr>
      <w:r w:rsidRPr="00B95BB1">
        <w:rPr>
          <w:rFonts w:ascii="Arial" w:hAnsi="Arial" w:cs="Arial"/>
          <w:lang w:val="en-AU"/>
        </w:rPr>
        <w:t>Matthew D. Free</w:t>
      </w:r>
      <w:r w:rsidRPr="00B95BB1">
        <w:rPr>
          <w:rFonts w:ascii="Arial" w:hAnsi="Arial" w:cs="Arial"/>
          <w:vertAlign w:val="subscript"/>
          <w:lang w:val="en-AU"/>
        </w:rPr>
        <w:t>1</w:t>
      </w:r>
      <w:r w:rsidRPr="00B95BB1">
        <w:rPr>
          <w:rFonts w:ascii="Arial" w:hAnsi="Arial" w:cs="Arial"/>
          <w:lang w:val="en-AU"/>
        </w:rPr>
        <w:t>, MBBS</w:t>
      </w:r>
    </w:p>
    <w:p w14:paraId="24CFA7B4" w14:textId="77777777" w:rsidR="00CA7C3E" w:rsidRPr="00B95BB1" w:rsidRDefault="00CA7C3E" w:rsidP="00CA7C3E">
      <w:pPr>
        <w:jc w:val="both"/>
        <w:rPr>
          <w:rFonts w:ascii="Arial" w:hAnsi="Arial" w:cs="Arial"/>
          <w:vertAlign w:val="subscript"/>
          <w:lang w:val="en-AU"/>
        </w:rPr>
      </w:pPr>
      <w:r w:rsidRPr="00B95BB1">
        <w:rPr>
          <w:rFonts w:ascii="Arial" w:hAnsi="Arial" w:cs="Arial"/>
          <w:lang w:val="en-AU"/>
        </w:rPr>
        <w:t>David H. Owen</w:t>
      </w:r>
      <w:r w:rsidRPr="00B95BB1">
        <w:rPr>
          <w:rFonts w:ascii="Arial" w:hAnsi="Arial" w:cs="Arial"/>
          <w:vertAlign w:val="subscript"/>
          <w:lang w:val="en-AU"/>
        </w:rPr>
        <w:t>1</w:t>
      </w:r>
      <w:r w:rsidRPr="00B95BB1">
        <w:rPr>
          <w:rFonts w:ascii="Arial" w:hAnsi="Arial" w:cs="Arial"/>
          <w:lang w:val="en-AU"/>
        </w:rPr>
        <w:t>, MBBS, BE/BSc</w:t>
      </w:r>
    </w:p>
    <w:p w14:paraId="4D616E1F" w14:textId="77777777" w:rsidR="00CA7C3E" w:rsidRPr="00B95BB1" w:rsidRDefault="00CA7C3E" w:rsidP="00CA7C3E">
      <w:pPr>
        <w:jc w:val="both"/>
        <w:rPr>
          <w:rFonts w:ascii="Arial" w:hAnsi="Arial" w:cs="Arial"/>
          <w:vertAlign w:val="subscript"/>
          <w:lang w:val="en-AU"/>
        </w:rPr>
      </w:pPr>
      <w:r w:rsidRPr="00B95BB1">
        <w:rPr>
          <w:rFonts w:ascii="Arial" w:hAnsi="Arial" w:cs="Arial"/>
          <w:lang w:val="en-AU"/>
        </w:rPr>
        <w:t>Edward Pascoe</w:t>
      </w:r>
      <w:r w:rsidRPr="00B95BB1">
        <w:rPr>
          <w:rFonts w:ascii="Arial" w:hAnsi="Arial" w:cs="Arial"/>
          <w:vertAlign w:val="subscript"/>
          <w:lang w:val="en-AU"/>
        </w:rPr>
        <w:t>1</w:t>
      </w:r>
      <w:r w:rsidRPr="00B95BB1">
        <w:rPr>
          <w:rFonts w:ascii="Arial" w:hAnsi="Arial" w:cs="Arial"/>
          <w:lang w:val="en-AU"/>
        </w:rPr>
        <w:t>, MBBS</w:t>
      </w:r>
    </w:p>
    <w:p w14:paraId="2DCA6AE9" w14:textId="77777777" w:rsidR="00CA7C3E" w:rsidRPr="00B95BB1" w:rsidRDefault="00CA7C3E" w:rsidP="00CA7C3E">
      <w:pPr>
        <w:jc w:val="both"/>
        <w:rPr>
          <w:rFonts w:ascii="Arial" w:hAnsi="Arial" w:cs="Arial"/>
          <w:vertAlign w:val="subscript"/>
          <w:lang w:val="en-AU"/>
        </w:rPr>
      </w:pPr>
      <w:r w:rsidRPr="00B95BB1">
        <w:rPr>
          <w:rFonts w:ascii="Arial" w:hAnsi="Arial" w:cs="Arial"/>
          <w:lang w:val="en-AU"/>
        </w:rPr>
        <w:t>Penny Allen</w:t>
      </w:r>
      <w:r w:rsidRPr="00B95BB1">
        <w:rPr>
          <w:rFonts w:ascii="Arial" w:hAnsi="Arial" w:cs="Arial"/>
          <w:vertAlign w:val="subscript"/>
          <w:lang w:val="en-AU"/>
        </w:rPr>
        <w:t>2</w:t>
      </w:r>
      <w:r w:rsidRPr="00B95BB1">
        <w:rPr>
          <w:rFonts w:ascii="Arial" w:hAnsi="Arial" w:cs="Arial"/>
          <w:lang w:val="en-AU"/>
        </w:rPr>
        <w:t>, PhD, MPH, BA (Hons)</w:t>
      </w:r>
    </w:p>
    <w:p w14:paraId="497449B5" w14:textId="77777777" w:rsidR="00CA7C3E" w:rsidRPr="00B95BB1" w:rsidRDefault="00CA7C3E" w:rsidP="00CA7C3E">
      <w:pPr>
        <w:jc w:val="both"/>
        <w:rPr>
          <w:rFonts w:ascii="Arial" w:hAnsi="Arial" w:cs="Arial"/>
          <w:lang w:val="en-AU"/>
        </w:rPr>
      </w:pPr>
      <w:r w:rsidRPr="00B95BB1">
        <w:rPr>
          <w:rFonts w:ascii="Arial" w:hAnsi="Arial" w:cs="Arial"/>
          <w:lang w:val="en-AU"/>
        </w:rPr>
        <w:t>Luke Yang</w:t>
      </w:r>
      <w:r w:rsidRPr="00B95BB1">
        <w:rPr>
          <w:rFonts w:ascii="Arial" w:hAnsi="Arial" w:cs="Arial"/>
          <w:vertAlign w:val="subscript"/>
          <w:lang w:val="en-AU"/>
        </w:rPr>
        <w:t>3</w:t>
      </w:r>
      <w:r w:rsidRPr="00B95BB1">
        <w:rPr>
          <w:rFonts w:ascii="Arial" w:hAnsi="Arial" w:cs="Arial"/>
          <w:lang w:val="en-AU"/>
        </w:rPr>
        <w:t>, Medical student</w:t>
      </w:r>
    </w:p>
    <w:p w14:paraId="0D3C6F29" w14:textId="77777777" w:rsidR="00CA7C3E" w:rsidRPr="00B95BB1" w:rsidRDefault="00CA7C3E" w:rsidP="00CA7C3E">
      <w:pPr>
        <w:jc w:val="both"/>
        <w:rPr>
          <w:rFonts w:ascii="Arial" w:hAnsi="Arial" w:cs="Arial"/>
          <w:vertAlign w:val="subscript"/>
          <w:lang w:val="en-AU"/>
        </w:rPr>
      </w:pPr>
      <w:r w:rsidRPr="00B95BB1">
        <w:rPr>
          <w:rFonts w:ascii="Arial" w:hAnsi="Arial" w:cs="Arial"/>
          <w:lang w:val="en-AU"/>
        </w:rPr>
        <w:t>Paul Harvie</w:t>
      </w:r>
      <w:r w:rsidRPr="00B95BB1">
        <w:rPr>
          <w:rFonts w:ascii="Arial" w:hAnsi="Arial" w:cs="Arial"/>
          <w:vertAlign w:val="subscript"/>
          <w:lang w:val="en-AU"/>
        </w:rPr>
        <w:t>1</w:t>
      </w:r>
      <w:r w:rsidRPr="00B95BB1">
        <w:rPr>
          <w:rFonts w:ascii="Arial" w:hAnsi="Arial" w:cs="Arial"/>
          <w:lang w:val="en-AU"/>
        </w:rPr>
        <w:t xml:space="preserve">, </w:t>
      </w:r>
      <w:proofErr w:type="gramStart"/>
      <w:r w:rsidRPr="00B95BB1">
        <w:rPr>
          <w:rFonts w:ascii="Arial" w:hAnsi="Arial" w:cs="Arial"/>
        </w:rPr>
        <w:t>BEng(</w:t>
      </w:r>
      <w:proofErr w:type="gramEnd"/>
      <w:r w:rsidRPr="00B95BB1">
        <w:rPr>
          <w:rFonts w:ascii="Arial" w:hAnsi="Arial" w:cs="Arial"/>
        </w:rPr>
        <w:t>Hons), MBChB, MRCS(</w:t>
      </w:r>
      <w:proofErr w:type="spellStart"/>
      <w:r w:rsidRPr="00B95BB1">
        <w:rPr>
          <w:rFonts w:ascii="Arial" w:hAnsi="Arial" w:cs="Arial"/>
        </w:rPr>
        <w:t>Eng</w:t>
      </w:r>
      <w:proofErr w:type="spellEnd"/>
      <w:r w:rsidRPr="00B95BB1">
        <w:rPr>
          <w:rFonts w:ascii="Arial" w:hAnsi="Arial" w:cs="Arial"/>
        </w:rPr>
        <w:t>), MD, FRCS(</w:t>
      </w:r>
      <w:proofErr w:type="spellStart"/>
      <w:r w:rsidRPr="00B95BB1">
        <w:rPr>
          <w:rFonts w:ascii="Arial" w:hAnsi="Arial" w:cs="Arial"/>
        </w:rPr>
        <w:t>Tr&amp;Orth</w:t>
      </w:r>
      <w:proofErr w:type="spellEnd"/>
      <w:r w:rsidRPr="00B95BB1">
        <w:rPr>
          <w:rFonts w:ascii="Arial" w:hAnsi="Arial" w:cs="Arial"/>
        </w:rPr>
        <w:t>)</w:t>
      </w:r>
    </w:p>
    <w:p w14:paraId="62813988" w14:textId="77777777" w:rsidR="00CA7C3E" w:rsidRPr="00B95BB1" w:rsidRDefault="00CA7C3E" w:rsidP="00CA7C3E">
      <w:pPr>
        <w:jc w:val="both"/>
        <w:rPr>
          <w:rFonts w:ascii="Arial" w:hAnsi="Arial" w:cs="Arial"/>
        </w:rPr>
      </w:pPr>
    </w:p>
    <w:p w14:paraId="1288F4BE" w14:textId="77777777" w:rsidR="00CA7C3E" w:rsidRPr="00B95BB1" w:rsidRDefault="00CA7C3E" w:rsidP="00CA7C3E">
      <w:pPr>
        <w:jc w:val="both"/>
        <w:rPr>
          <w:rFonts w:ascii="Arial" w:hAnsi="Arial" w:cs="Arial"/>
        </w:rPr>
      </w:pPr>
    </w:p>
    <w:p w14:paraId="2898125A" w14:textId="77777777" w:rsidR="00CA7C3E" w:rsidRPr="00B95BB1" w:rsidRDefault="00CA7C3E" w:rsidP="00CA7C3E">
      <w:pPr>
        <w:jc w:val="both"/>
        <w:rPr>
          <w:rFonts w:ascii="Arial" w:hAnsi="Arial" w:cs="Arial"/>
          <w:b/>
          <w:lang w:val="en-AU"/>
        </w:rPr>
      </w:pPr>
    </w:p>
    <w:p w14:paraId="6D04E22E" w14:textId="77777777" w:rsidR="00CA7C3E" w:rsidRDefault="00CA7C3E" w:rsidP="00CA7C3E">
      <w:pPr>
        <w:jc w:val="both"/>
        <w:rPr>
          <w:rFonts w:ascii="Arial" w:hAnsi="Arial" w:cs="Arial"/>
          <w:b/>
          <w:lang w:val="en-AU"/>
        </w:rPr>
      </w:pPr>
    </w:p>
    <w:p w14:paraId="27735B06" w14:textId="058BB12A" w:rsidR="00CA7C3E" w:rsidRPr="00CA7C3E" w:rsidRDefault="00CA7C3E">
      <w:pPr>
        <w:rPr>
          <w:rFonts w:ascii="Arial" w:hAnsi="Arial" w:cs="Arial"/>
          <w:b/>
          <w:lang w:val="en-AU"/>
        </w:rPr>
      </w:pPr>
      <w:r>
        <w:rPr>
          <w:rFonts w:cs="Arial"/>
          <w:b/>
          <w:sz w:val="28"/>
          <w:lang w:val="en-AU"/>
        </w:rPr>
        <w:br w:type="page"/>
      </w:r>
    </w:p>
    <w:p w14:paraId="26D4DFBF" w14:textId="5B7B8E9D" w:rsidR="00D80B56" w:rsidRPr="00B95BB1" w:rsidRDefault="00672313" w:rsidP="0095461C">
      <w:pPr>
        <w:rPr>
          <w:rFonts w:ascii="Arial" w:hAnsi="Arial" w:cs="Arial"/>
          <w:b/>
          <w:lang w:val="en-AU"/>
        </w:rPr>
      </w:pPr>
      <w:r>
        <w:rPr>
          <w:rFonts w:ascii="Arial" w:hAnsi="Arial" w:cs="Arial"/>
          <w:b/>
          <w:sz w:val="28"/>
          <w:lang w:val="en-AU"/>
        </w:rPr>
        <w:lastRenderedPageBreak/>
        <w:t>T</w:t>
      </w:r>
      <w:r w:rsidR="00D80B56" w:rsidRPr="00B95BB1">
        <w:rPr>
          <w:rFonts w:ascii="Arial" w:hAnsi="Arial" w:cs="Arial"/>
          <w:b/>
          <w:sz w:val="28"/>
          <w:lang w:val="en-AU"/>
        </w:rPr>
        <w:t>ransfusion rate</w:t>
      </w:r>
      <w:r w:rsidR="0095461C">
        <w:rPr>
          <w:rFonts w:ascii="Arial" w:hAnsi="Arial" w:cs="Arial"/>
          <w:b/>
          <w:sz w:val="28"/>
          <w:lang w:val="en-AU"/>
        </w:rPr>
        <w:t>s</w:t>
      </w:r>
      <w:r w:rsidR="00D80B56" w:rsidRPr="00B95BB1">
        <w:rPr>
          <w:rFonts w:ascii="Arial" w:hAnsi="Arial" w:cs="Arial"/>
          <w:b/>
          <w:sz w:val="28"/>
          <w:lang w:val="en-AU"/>
        </w:rPr>
        <w:t xml:space="preserve"> </w:t>
      </w:r>
      <w:r w:rsidR="0095461C">
        <w:rPr>
          <w:rFonts w:ascii="Arial" w:hAnsi="Arial" w:cs="Arial"/>
          <w:b/>
          <w:sz w:val="28"/>
          <w:lang w:val="en-AU"/>
        </w:rPr>
        <w:t>with and without tranexamic acid</w:t>
      </w:r>
      <w:r w:rsidR="0095461C" w:rsidRPr="00B95BB1">
        <w:rPr>
          <w:rFonts w:ascii="Arial" w:hAnsi="Arial" w:cs="Arial"/>
          <w:b/>
          <w:sz w:val="28"/>
          <w:lang w:val="en-AU"/>
        </w:rPr>
        <w:t xml:space="preserve"> </w:t>
      </w:r>
      <w:r w:rsidR="00D80B56" w:rsidRPr="00B95BB1">
        <w:rPr>
          <w:rFonts w:ascii="Arial" w:hAnsi="Arial" w:cs="Arial"/>
          <w:b/>
          <w:sz w:val="28"/>
          <w:lang w:val="en-AU"/>
        </w:rPr>
        <w:t>in total hip arthroplasty performed using the direct anterior approach</w:t>
      </w:r>
    </w:p>
    <w:p w14:paraId="78F97EDF" w14:textId="310B113F" w:rsidR="00207E50" w:rsidRDefault="00207E50" w:rsidP="00207E50">
      <w:pPr>
        <w:jc w:val="both"/>
        <w:rPr>
          <w:rFonts w:cs="Arial"/>
          <w:b/>
          <w:lang w:val="en-AU"/>
        </w:rPr>
      </w:pPr>
    </w:p>
    <w:p w14:paraId="1C94F697" w14:textId="03060E6C" w:rsidR="00D4403B" w:rsidRPr="00B95BB1" w:rsidRDefault="00D4403B" w:rsidP="00D4403B">
      <w:pPr>
        <w:jc w:val="both"/>
        <w:rPr>
          <w:rFonts w:ascii="Arial" w:hAnsi="Arial" w:cs="Arial"/>
          <w:vertAlign w:val="subscript"/>
          <w:lang w:val="en-AU"/>
        </w:rPr>
      </w:pPr>
      <w:r w:rsidRPr="00B95BB1">
        <w:rPr>
          <w:rFonts w:ascii="Arial" w:hAnsi="Arial" w:cs="Arial"/>
          <w:lang w:val="en-AU"/>
        </w:rPr>
        <w:t>Matthew D. Free</w:t>
      </w:r>
    </w:p>
    <w:p w14:paraId="19C4C8AA" w14:textId="7A37E5CC" w:rsidR="00D4403B" w:rsidRPr="00B95BB1" w:rsidRDefault="00D4403B" w:rsidP="00D4403B">
      <w:pPr>
        <w:jc w:val="both"/>
        <w:rPr>
          <w:rFonts w:ascii="Arial" w:hAnsi="Arial" w:cs="Arial"/>
          <w:vertAlign w:val="subscript"/>
          <w:lang w:val="en-AU"/>
        </w:rPr>
      </w:pPr>
      <w:r w:rsidRPr="00B95BB1">
        <w:rPr>
          <w:rFonts w:ascii="Arial" w:hAnsi="Arial" w:cs="Arial"/>
          <w:lang w:val="en-AU"/>
        </w:rPr>
        <w:t>David H. Owen</w:t>
      </w:r>
    </w:p>
    <w:p w14:paraId="2D52D203" w14:textId="662CA795" w:rsidR="00D4403B" w:rsidRPr="00B95BB1" w:rsidRDefault="00D4403B" w:rsidP="00D4403B">
      <w:pPr>
        <w:jc w:val="both"/>
        <w:rPr>
          <w:rFonts w:ascii="Arial" w:hAnsi="Arial" w:cs="Arial"/>
          <w:vertAlign w:val="subscript"/>
          <w:lang w:val="en-AU"/>
        </w:rPr>
      </w:pPr>
      <w:r w:rsidRPr="00B95BB1">
        <w:rPr>
          <w:rFonts w:ascii="Arial" w:hAnsi="Arial" w:cs="Arial"/>
          <w:lang w:val="en-AU"/>
        </w:rPr>
        <w:t>Edward Pascoe</w:t>
      </w:r>
    </w:p>
    <w:p w14:paraId="5D4F9607" w14:textId="55DF5DC2" w:rsidR="00D4403B" w:rsidRPr="00B95BB1" w:rsidRDefault="00D4403B" w:rsidP="00D4403B">
      <w:pPr>
        <w:jc w:val="both"/>
        <w:rPr>
          <w:rFonts w:ascii="Arial" w:hAnsi="Arial" w:cs="Arial"/>
          <w:vertAlign w:val="subscript"/>
          <w:lang w:val="en-AU"/>
        </w:rPr>
      </w:pPr>
      <w:r w:rsidRPr="00B95BB1">
        <w:rPr>
          <w:rFonts w:ascii="Arial" w:hAnsi="Arial" w:cs="Arial"/>
          <w:lang w:val="en-AU"/>
        </w:rPr>
        <w:t>Penny Allen</w:t>
      </w:r>
    </w:p>
    <w:p w14:paraId="513B7BAF" w14:textId="7E04C12E" w:rsidR="00D4403B" w:rsidRPr="00B95BB1" w:rsidRDefault="00D4403B" w:rsidP="00D4403B">
      <w:pPr>
        <w:jc w:val="both"/>
        <w:rPr>
          <w:rFonts w:ascii="Arial" w:hAnsi="Arial" w:cs="Arial"/>
          <w:lang w:val="en-AU"/>
        </w:rPr>
      </w:pPr>
      <w:r w:rsidRPr="00B95BB1">
        <w:rPr>
          <w:rFonts w:ascii="Arial" w:hAnsi="Arial" w:cs="Arial"/>
          <w:lang w:val="en-AU"/>
        </w:rPr>
        <w:t>Luke Yang</w:t>
      </w:r>
    </w:p>
    <w:p w14:paraId="7204CD0D" w14:textId="6AD4BA87" w:rsidR="00D4403B" w:rsidRPr="00B95BB1" w:rsidRDefault="00D4403B" w:rsidP="00D4403B">
      <w:pPr>
        <w:jc w:val="both"/>
        <w:rPr>
          <w:rFonts w:ascii="Arial" w:hAnsi="Arial" w:cs="Arial"/>
          <w:vertAlign w:val="subscript"/>
          <w:lang w:val="en-AU"/>
        </w:rPr>
      </w:pPr>
      <w:r w:rsidRPr="00B95BB1">
        <w:rPr>
          <w:rFonts w:ascii="Arial" w:hAnsi="Arial" w:cs="Arial"/>
          <w:lang w:val="en-AU"/>
        </w:rPr>
        <w:t>Paul Harvie</w:t>
      </w:r>
    </w:p>
    <w:p w14:paraId="10A171BC" w14:textId="77777777" w:rsidR="00D4403B" w:rsidRPr="00D4403B" w:rsidRDefault="00D4403B" w:rsidP="00207E50">
      <w:pPr>
        <w:jc w:val="both"/>
        <w:rPr>
          <w:rFonts w:cs="Arial"/>
          <w:b/>
        </w:rPr>
      </w:pPr>
    </w:p>
    <w:p w14:paraId="2451004D" w14:textId="77777777" w:rsidR="00207E50" w:rsidRPr="00011A4B" w:rsidRDefault="00207E50" w:rsidP="00207E50">
      <w:pPr>
        <w:jc w:val="both"/>
        <w:rPr>
          <w:rFonts w:cs="Arial"/>
          <w:b/>
          <w:lang w:val="en-AU"/>
        </w:rPr>
      </w:pPr>
    </w:p>
    <w:p w14:paraId="7B357976" w14:textId="77777777" w:rsidR="00640C57" w:rsidRPr="00B95BB1" w:rsidRDefault="00640C57" w:rsidP="009A7461">
      <w:pPr>
        <w:spacing w:line="480" w:lineRule="auto"/>
        <w:outlineLvl w:val="0"/>
        <w:rPr>
          <w:rFonts w:ascii="Arial" w:hAnsi="Arial" w:cs="Arial"/>
          <w:b/>
          <w:lang w:val="en-AU"/>
        </w:rPr>
      </w:pPr>
      <w:r w:rsidRPr="00B95BB1">
        <w:rPr>
          <w:rFonts w:ascii="Arial" w:hAnsi="Arial" w:cs="Arial"/>
          <w:b/>
          <w:lang w:val="en-AU"/>
        </w:rPr>
        <w:t>ABSTRACT</w:t>
      </w:r>
    </w:p>
    <w:p w14:paraId="02381003" w14:textId="6630CBD3" w:rsidR="009B73B4" w:rsidRPr="00B95BB1" w:rsidRDefault="00CA7C3E" w:rsidP="009A7461">
      <w:pPr>
        <w:spacing w:line="480" w:lineRule="auto"/>
        <w:rPr>
          <w:rFonts w:ascii="Arial" w:hAnsi="Arial" w:cs="Arial"/>
          <w:b/>
          <w:lang w:val="en-AU"/>
        </w:rPr>
      </w:pPr>
      <w:r w:rsidRPr="00B95BB1">
        <w:rPr>
          <w:rFonts w:ascii="Arial" w:hAnsi="Arial" w:cs="Arial"/>
          <w:b/>
          <w:lang w:val="en-AU"/>
        </w:rPr>
        <w:t>Introduction</w:t>
      </w:r>
      <w:r w:rsidR="009B73B4" w:rsidRPr="00B95BB1">
        <w:rPr>
          <w:rFonts w:ascii="Arial" w:hAnsi="Arial" w:cs="Arial"/>
          <w:b/>
          <w:lang w:val="en-AU"/>
        </w:rPr>
        <w:t xml:space="preserve"> </w:t>
      </w:r>
      <w:r w:rsidR="006E23E7" w:rsidRPr="00B95BB1">
        <w:rPr>
          <w:rFonts w:ascii="Arial" w:hAnsi="Arial" w:cs="Arial"/>
          <w:lang w:val="en-AU"/>
        </w:rPr>
        <w:t>Tranexamic acid (TX</w:t>
      </w:r>
      <w:r w:rsidR="009B73B4" w:rsidRPr="00B95BB1">
        <w:rPr>
          <w:rFonts w:ascii="Arial" w:hAnsi="Arial" w:cs="Arial"/>
          <w:lang w:val="en-AU"/>
        </w:rPr>
        <w:t xml:space="preserve">A) has been </w:t>
      </w:r>
      <w:r w:rsidR="00686DAD" w:rsidRPr="00B95BB1">
        <w:rPr>
          <w:rFonts w:ascii="Arial" w:hAnsi="Arial" w:cs="Arial"/>
          <w:lang w:val="en-AU"/>
        </w:rPr>
        <w:t xml:space="preserve">shown </w:t>
      </w:r>
      <w:r w:rsidR="009B73B4" w:rsidRPr="00B95BB1">
        <w:rPr>
          <w:rFonts w:ascii="Arial" w:hAnsi="Arial" w:cs="Arial"/>
          <w:lang w:val="en-AU"/>
        </w:rPr>
        <w:t>to reduce</w:t>
      </w:r>
      <w:r w:rsidR="00686DAD" w:rsidRPr="00B95BB1">
        <w:rPr>
          <w:rFonts w:ascii="Arial" w:hAnsi="Arial" w:cs="Arial"/>
          <w:lang w:val="en-AU"/>
        </w:rPr>
        <w:t xml:space="preserve"> blood loss and</w:t>
      </w:r>
      <w:r w:rsidR="009B73B4" w:rsidRPr="00B95BB1">
        <w:rPr>
          <w:rFonts w:ascii="Arial" w:hAnsi="Arial" w:cs="Arial"/>
          <w:lang w:val="en-AU"/>
        </w:rPr>
        <w:t xml:space="preserve"> transfusion requirements </w:t>
      </w:r>
      <w:r w:rsidR="00686DAD" w:rsidRPr="00B95BB1">
        <w:rPr>
          <w:rFonts w:ascii="Arial" w:hAnsi="Arial" w:cs="Arial"/>
          <w:lang w:val="en-AU"/>
        </w:rPr>
        <w:t xml:space="preserve">in </w:t>
      </w:r>
      <w:r w:rsidR="009B73B4" w:rsidRPr="00B95BB1">
        <w:rPr>
          <w:rFonts w:ascii="Arial" w:hAnsi="Arial" w:cs="Arial"/>
          <w:lang w:val="en-AU"/>
        </w:rPr>
        <w:t xml:space="preserve">patients </w:t>
      </w:r>
      <w:r w:rsidR="00686DAD" w:rsidRPr="00B95BB1">
        <w:rPr>
          <w:rFonts w:ascii="Arial" w:hAnsi="Arial" w:cs="Arial"/>
          <w:lang w:val="en-AU"/>
        </w:rPr>
        <w:t xml:space="preserve">undergoing </w:t>
      </w:r>
      <w:r w:rsidR="009B73B4" w:rsidRPr="00B95BB1">
        <w:rPr>
          <w:rFonts w:ascii="Arial" w:hAnsi="Arial" w:cs="Arial"/>
          <w:lang w:val="en-AU"/>
        </w:rPr>
        <w:t xml:space="preserve">total hip arthroplasty (THA). </w:t>
      </w:r>
      <w:r w:rsidR="00686DAD" w:rsidRPr="00B95BB1">
        <w:rPr>
          <w:rFonts w:ascii="Arial" w:hAnsi="Arial" w:cs="Arial"/>
          <w:lang w:val="en-AU"/>
        </w:rPr>
        <w:t xml:space="preserve">Most studies have focused on </w:t>
      </w:r>
      <w:r w:rsidR="006E23E7" w:rsidRPr="00B95BB1">
        <w:rPr>
          <w:rFonts w:ascii="Arial" w:hAnsi="Arial" w:cs="Arial"/>
          <w:lang w:val="en-AU"/>
        </w:rPr>
        <w:t>TX</w:t>
      </w:r>
      <w:r w:rsidR="009B73B4" w:rsidRPr="00B95BB1">
        <w:rPr>
          <w:rFonts w:ascii="Arial" w:hAnsi="Arial" w:cs="Arial"/>
          <w:lang w:val="en-AU"/>
        </w:rPr>
        <w:t xml:space="preserve">A in </w:t>
      </w:r>
      <w:r w:rsidR="00686DAD" w:rsidRPr="00B95BB1">
        <w:rPr>
          <w:rFonts w:ascii="Arial" w:hAnsi="Arial" w:cs="Arial"/>
          <w:lang w:val="en-AU"/>
        </w:rPr>
        <w:t>THA</w:t>
      </w:r>
      <w:r w:rsidR="009B73B4" w:rsidRPr="00B95BB1">
        <w:rPr>
          <w:rFonts w:ascii="Arial" w:hAnsi="Arial" w:cs="Arial"/>
          <w:lang w:val="en-AU"/>
        </w:rPr>
        <w:t xml:space="preserve"> performed </w:t>
      </w:r>
      <w:r w:rsidR="00831DAE" w:rsidRPr="00B95BB1">
        <w:rPr>
          <w:rFonts w:ascii="Arial" w:hAnsi="Arial" w:cs="Arial"/>
          <w:lang w:val="en-AU"/>
        </w:rPr>
        <w:t xml:space="preserve">using </w:t>
      </w:r>
      <w:r w:rsidR="006E23E7" w:rsidRPr="00B95BB1">
        <w:rPr>
          <w:rFonts w:ascii="Arial" w:hAnsi="Arial" w:cs="Arial"/>
          <w:lang w:val="en-AU"/>
        </w:rPr>
        <w:t xml:space="preserve">a </w:t>
      </w:r>
      <w:r w:rsidR="009B73B4" w:rsidRPr="00B95BB1">
        <w:rPr>
          <w:rFonts w:ascii="Arial" w:hAnsi="Arial" w:cs="Arial"/>
          <w:lang w:val="en-AU"/>
        </w:rPr>
        <w:t>posterior</w:t>
      </w:r>
      <w:r w:rsidR="00DB03F0" w:rsidRPr="00B95BB1">
        <w:rPr>
          <w:rFonts w:ascii="Arial" w:hAnsi="Arial" w:cs="Arial"/>
          <w:lang w:val="en-AU"/>
        </w:rPr>
        <w:t xml:space="preserve"> approach (PA)</w:t>
      </w:r>
      <w:r w:rsidR="009B73B4" w:rsidRPr="00B95BB1">
        <w:rPr>
          <w:rFonts w:ascii="Arial" w:hAnsi="Arial" w:cs="Arial"/>
          <w:lang w:val="en-AU"/>
        </w:rPr>
        <w:t xml:space="preserve"> or lateral approach. The aim of this study was to </w:t>
      </w:r>
      <w:r w:rsidR="009F21E7" w:rsidRPr="00B95BB1">
        <w:rPr>
          <w:rFonts w:ascii="Arial" w:hAnsi="Arial" w:cs="Arial"/>
          <w:lang w:val="en-AU"/>
        </w:rPr>
        <w:t xml:space="preserve">analyse the efficacy of </w:t>
      </w:r>
      <w:r w:rsidR="009B73B4" w:rsidRPr="00B95BB1">
        <w:rPr>
          <w:rFonts w:ascii="Arial" w:hAnsi="Arial" w:cs="Arial"/>
          <w:lang w:val="en-AU"/>
        </w:rPr>
        <w:t xml:space="preserve">TXA </w:t>
      </w:r>
      <w:r w:rsidR="009F21E7" w:rsidRPr="00B95BB1">
        <w:rPr>
          <w:rFonts w:ascii="Arial" w:hAnsi="Arial" w:cs="Arial"/>
          <w:lang w:val="en-AU"/>
        </w:rPr>
        <w:t>in</w:t>
      </w:r>
      <w:r w:rsidR="009B73B4" w:rsidRPr="00B95BB1">
        <w:rPr>
          <w:rFonts w:ascii="Arial" w:hAnsi="Arial" w:cs="Arial"/>
          <w:lang w:val="en-AU"/>
        </w:rPr>
        <w:t xml:space="preserve"> patients undergoing THA </w:t>
      </w:r>
      <w:r w:rsidR="009F21E7" w:rsidRPr="00B95BB1">
        <w:rPr>
          <w:rFonts w:ascii="Arial" w:hAnsi="Arial" w:cs="Arial"/>
          <w:lang w:val="en-AU"/>
        </w:rPr>
        <w:t xml:space="preserve">using </w:t>
      </w:r>
      <w:r w:rsidR="009B73B4" w:rsidRPr="00B95BB1">
        <w:rPr>
          <w:rFonts w:ascii="Arial" w:hAnsi="Arial" w:cs="Arial"/>
          <w:lang w:val="en-AU"/>
        </w:rPr>
        <w:t xml:space="preserve">the direct anterior approach (DAA). </w:t>
      </w:r>
    </w:p>
    <w:p w14:paraId="3BCB01E1" w14:textId="77777777" w:rsidR="00AE16B8" w:rsidRPr="00B95BB1" w:rsidRDefault="00AE16B8" w:rsidP="009A7461">
      <w:pPr>
        <w:spacing w:line="480" w:lineRule="auto"/>
        <w:rPr>
          <w:rFonts w:ascii="Arial" w:hAnsi="Arial" w:cs="Arial"/>
          <w:lang w:val="en-AU"/>
        </w:rPr>
      </w:pPr>
    </w:p>
    <w:p w14:paraId="4401A420" w14:textId="584A44DB" w:rsidR="00D76139" w:rsidRPr="00B95BB1" w:rsidRDefault="009B73B4" w:rsidP="00A73634">
      <w:pPr>
        <w:spacing w:line="480" w:lineRule="auto"/>
        <w:rPr>
          <w:rFonts w:ascii="Arial" w:hAnsi="Arial" w:cs="Arial"/>
          <w:lang w:val="en-AU"/>
        </w:rPr>
      </w:pPr>
      <w:r w:rsidRPr="00B95BB1">
        <w:rPr>
          <w:rFonts w:ascii="Arial" w:hAnsi="Arial" w:cs="Arial"/>
          <w:b/>
          <w:lang w:val="en-AU"/>
        </w:rPr>
        <w:t xml:space="preserve">Patients and </w:t>
      </w:r>
      <w:r w:rsidR="00AE16B8" w:rsidRPr="00B95BB1">
        <w:rPr>
          <w:rFonts w:ascii="Arial" w:hAnsi="Arial" w:cs="Arial"/>
          <w:b/>
          <w:lang w:val="en-AU"/>
        </w:rPr>
        <w:t>Methods</w:t>
      </w:r>
      <w:r w:rsidRPr="00B95BB1">
        <w:rPr>
          <w:rFonts w:ascii="Arial" w:hAnsi="Arial" w:cs="Arial"/>
          <w:lang w:val="en-AU"/>
        </w:rPr>
        <w:t xml:space="preserve"> </w:t>
      </w:r>
      <w:r w:rsidR="00666D4E" w:rsidRPr="00B95BB1">
        <w:rPr>
          <w:rFonts w:ascii="Arial" w:hAnsi="Arial" w:cs="Arial"/>
          <w:lang w:val="en-AU"/>
        </w:rPr>
        <w:t xml:space="preserve">Using our </w:t>
      </w:r>
      <w:r w:rsidR="009F21E7" w:rsidRPr="00B95BB1">
        <w:rPr>
          <w:rFonts w:ascii="Arial" w:hAnsi="Arial" w:cs="Arial"/>
          <w:lang w:val="en-AU"/>
        </w:rPr>
        <w:t>institutional database</w:t>
      </w:r>
      <w:r w:rsidR="00636E60" w:rsidRPr="00B95BB1">
        <w:rPr>
          <w:rFonts w:ascii="Arial" w:hAnsi="Arial" w:cs="Arial"/>
          <w:lang w:val="en-AU"/>
        </w:rPr>
        <w:t>,</w:t>
      </w:r>
      <w:r w:rsidR="009F21E7" w:rsidRPr="00B95BB1">
        <w:rPr>
          <w:rFonts w:ascii="Arial" w:hAnsi="Arial" w:cs="Arial"/>
          <w:lang w:val="en-AU"/>
        </w:rPr>
        <w:t xml:space="preserve"> </w:t>
      </w:r>
      <w:r w:rsidR="00666D4E" w:rsidRPr="00B95BB1">
        <w:rPr>
          <w:rFonts w:ascii="Arial" w:hAnsi="Arial" w:cs="Arial"/>
          <w:lang w:val="en-AU"/>
        </w:rPr>
        <w:t xml:space="preserve">a retrospective analysis was conducted on consecutive </w:t>
      </w:r>
      <w:r w:rsidR="009F21E7" w:rsidRPr="00B95BB1">
        <w:rPr>
          <w:rFonts w:ascii="Arial" w:hAnsi="Arial" w:cs="Arial"/>
          <w:lang w:val="en-AU"/>
        </w:rPr>
        <w:t>primary T</w:t>
      </w:r>
      <w:r w:rsidR="00666D4E" w:rsidRPr="00B95BB1">
        <w:rPr>
          <w:rFonts w:ascii="Arial" w:hAnsi="Arial" w:cs="Arial"/>
          <w:lang w:val="en-AU"/>
        </w:rPr>
        <w:t xml:space="preserve">HA performed for osteoarthritis to </w:t>
      </w:r>
      <w:r w:rsidR="00DB03F0" w:rsidRPr="00B95BB1">
        <w:rPr>
          <w:rFonts w:ascii="Arial" w:hAnsi="Arial" w:cs="Arial"/>
          <w:lang w:val="en-AU"/>
        </w:rPr>
        <w:t xml:space="preserve">determine </w:t>
      </w:r>
      <w:r w:rsidR="00666D4E" w:rsidRPr="00B95BB1">
        <w:rPr>
          <w:rFonts w:ascii="Arial" w:hAnsi="Arial" w:cs="Arial"/>
          <w:lang w:val="en-AU"/>
        </w:rPr>
        <w:t xml:space="preserve">transfusion rates in patients undergoing THA </w:t>
      </w:r>
      <w:r w:rsidR="00DB03F0" w:rsidRPr="00B95BB1">
        <w:rPr>
          <w:rFonts w:ascii="Arial" w:hAnsi="Arial" w:cs="Arial"/>
          <w:lang w:val="en-AU"/>
        </w:rPr>
        <w:t>with the</w:t>
      </w:r>
      <w:r w:rsidR="00666D4E" w:rsidRPr="00B95BB1">
        <w:rPr>
          <w:rFonts w:ascii="Arial" w:hAnsi="Arial" w:cs="Arial"/>
          <w:lang w:val="en-AU"/>
        </w:rPr>
        <w:t xml:space="preserve"> D</w:t>
      </w:r>
      <w:r w:rsidR="00E50DE4" w:rsidRPr="00B95BB1">
        <w:rPr>
          <w:rFonts w:ascii="Arial" w:hAnsi="Arial" w:cs="Arial"/>
          <w:lang w:val="en-AU"/>
        </w:rPr>
        <w:t>AA</w:t>
      </w:r>
      <w:r w:rsidR="00A73634" w:rsidRPr="00A73634">
        <w:rPr>
          <w:rFonts w:ascii="Arial" w:hAnsi="Arial" w:cs="Arial"/>
          <w:lang w:val="en-AU"/>
        </w:rPr>
        <w:t xml:space="preserve"> </w:t>
      </w:r>
      <w:r w:rsidR="00A73634" w:rsidRPr="00B95BB1">
        <w:rPr>
          <w:rFonts w:ascii="Arial" w:hAnsi="Arial" w:cs="Arial"/>
          <w:lang w:val="en-AU"/>
        </w:rPr>
        <w:t xml:space="preserve">with and without </w:t>
      </w:r>
      <w:proofErr w:type="gramStart"/>
      <w:r w:rsidR="00A73634" w:rsidRPr="00B95BB1">
        <w:rPr>
          <w:rFonts w:ascii="Arial" w:hAnsi="Arial" w:cs="Arial"/>
          <w:lang w:val="en-AU"/>
        </w:rPr>
        <w:t>TXA</w:t>
      </w:r>
      <w:r w:rsidR="00DD1611">
        <w:rPr>
          <w:rFonts w:ascii="Arial" w:hAnsi="Arial" w:cs="Arial"/>
          <w:lang w:val="en-AU"/>
        </w:rPr>
        <w:t>.</w:t>
      </w:r>
      <w:r w:rsidR="00666D4E" w:rsidRPr="00B95BB1">
        <w:rPr>
          <w:rFonts w:ascii="Arial" w:hAnsi="Arial" w:cs="Arial"/>
          <w:lang w:val="en-AU"/>
        </w:rPr>
        <w:t>.</w:t>
      </w:r>
      <w:proofErr w:type="gramEnd"/>
      <w:r w:rsidR="00666D4E" w:rsidRPr="00B95BB1">
        <w:rPr>
          <w:rFonts w:ascii="Arial" w:hAnsi="Arial" w:cs="Arial"/>
          <w:lang w:val="en-AU"/>
        </w:rPr>
        <w:t xml:space="preserve"> </w:t>
      </w:r>
    </w:p>
    <w:p w14:paraId="0E024442" w14:textId="77777777" w:rsidR="00AE16B8" w:rsidRPr="00B95BB1" w:rsidRDefault="00AE16B8" w:rsidP="009A7461">
      <w:pPr>
        <w:spacing w:line="480" w:lineRule="auto"/>
        <w:rPr>
          <w:rFonts w:ascii="Arial" w:hAnsi="Arial" w:cs="Arial"/>
          <w:lang w:val="en-AU"/>
        </w:rPr>
      </w:pPr>
    </w:p>
    <w:p w14:paraId="34651690" w14:textId="0B587C11" w:rsidR="00666D4E" w:rsidRPr="00B95BB1" w:rsidRDefault="00AE16B8" w:rsidP="00BB086E">
      <w:pPr>
        <w:spacing w:line="480" w:lineRule="auto"/>
        <w:rPr>
          <w:rFonts w:ascii="Arial" w:hAnsi="Arial" w:cs="Arial"/>
          <w:lang w:val="en-AU"/>
        </w:rPr>
      </w:pPr>
      <w:proofErr w:type="gramStart"/>
      <w:r w:rsidRPr="00B95BB1">
        <w:rPr>
          <w:rFonts w:ascii="Arial" w:hAnsi="Arial" w:cs="Arial"/>
          <w:b/>
          <w:lang w:val="en-AU"/>
        </w:rPr>
        <w:t>Results</w:t>
      </w:r>
      <w:r w:rsidR="009B73B4" w:rsidRPr="00B95BB1">
        <w:rPr>
          <w:rFonts w:ascii="Arial" w:hAnsi="Arial" w:cs="Arial"/>
          <w:lang w:val="en-AU"/>
        </w:rPr>
        <w:t xml:space="preserve"> </w:t>
      </w:r>
      <w:r w:rsidR="00636E60" w:rsidRPr="00B95BB1">
        <w:rPr>
          <w:rFonts w:ascii="Arial" w:hAnsi="Arial" w:cs="Arial"/>
          <w:lang w:val="en-AU"/>
        </w:rPr>
        <w:t xml:space="preserve"> 146</w:t>
      </w:r>
      <w:proofErr w:type="gramEnd"/>
      <w:r w:rsidR="00DD1611">
        <w:rPr>
          <w:rFonts w:ascii="Arial" w:hAnsi="Arial" w:cs="Arial"/>
          <w:lang w:val="en-AU"/>
        </w:rPr>
        <w:t xml:space="preserve"> consecutive </w:t>
      </w:r>
      <w:r w:rsidR="00636E60" w:rsidRPr="00B95BB1">
        <w:rPr>
          <w:rFonts w:ascii="Arial" w:hAnsi="Arial" w:cs="Arial"/>
          <w:lang w:val="en-AU"/>
        </w:rPr>
        <w:t>THA were performed using DAA</w:t>
      </w:r>
      <w:r w:rsidR="00DD1611">
        <w:rPr>
          <w:rFonts w:ascii="Arial" w:hAnsi="Arial" w:cs="Arial"/>
          <w:lang w:val="en-AU"/>
        </w:rPr>
        <w:t>:</w:t>
      </w:r>
      <w:r w:rsidR="00636E60" w:rsidRPr="00B95BB1">
        <w:rPr>
          <w:rFonts w:ascii="Arial" w:hAnsi="Arial" w:cs="Arial"/>
          <w:lang w:val="en-AU"/>
        </w:rPr>
        <w:t xml:space="preserve"> </w:t>
      </w:r>
      <w:r w:rsidR="00DD1611">
        <w:rPr>
          <w:rFonts w:ascii="Arial" w:hAnsi="Arial" w:cs="Arial"/>
          <w:lang w:val="en-AU"/>
        </w:rPr>
        <w:t>83</w:t>
      </w:r>
      <w:r w:rsidR="00A20DC3" w:rsidRPr="00B95BB1">
        <w:rPr>
          <w:rFonts w:ascii="Arial" w:hAnsi="Arial" w:cs="Arial"/>
          <w:lang w:val="en-AU"/>
        </w:rPr>
        <w:t xml:space="preserve"> </w:t>
      </w:r>
      <w:r w:rsidR="00343F6B">
        <w:rPr>
          <w:rFonts w:ascii="Arial" w:hAnsi="Arial" w:cs="Arial"/>
          <w:lang w:val="en-AU"/>
        </w:rPr>
        <w:t xml:space="preserve">(56.8%) </w:t>
      </w:r>
      <w:r w:rsidR="00A20DC3" w:rsidRPr="00B95BB1">
        <w:rPr>
          <w:rFonts w:ascii="Arial" w:hAnsi="Arial" w:cs="Arial"/>
          <w:lang w:val="en-AU"/>
        </w:rPr>
        <w:t xml:space="preserve">patients had TXA </w:t>
      </w:r>
      <w:r w:rsidR="00343F6B">
        <w:rPr>
          <w:rFonts w:ascii="Arial" w:hAnsi="Arial" w:cs="Arial"/>
          <w:lang w:val="en-AU"/>
        </w:rPr>
        <w:t>and 63 (43.2%) did not have TXA</w:t>
      </w:r>
      <w:r w:rsidR="00A20DC3" w:rsidRPr="00B95BB1">
        <w:rPr>
          <w:rFonts w:ascii="Arial" w:hAnsi="Arial" w:cs="Arial"/>
          <w:lang w:val="en-AU"/>
        </w:rPr>
        <w:t xml:space="preserve">. </w:t>
      </w:r>
      <w:r w:rsidR="00343F6B">
        <w:rPr>
          <w:rFonts w:ascii="Arial" w:hAnsi="Arial" w:cs="Arial"/>
          <w:lang w:val="en-AU"/>
        </w:rPr>
        <w:t xml:space="preserve">Among patients who had </w:t>
      </w:r>
      <w:r w:rsidR="009B73B4" w:rsidRPr="00B95BB1">
        <w:rPr>
          <w:rFonts w:ascii="Arial" w:hAnsi="Arial" w:cs="Arial"/>
          <w:lang w:val="en-AU"/>
        </w:rPr>
        <w:t>TXA</w:t>
      </w:r>
      <w:r w:rsidR="00343F6B">
        <w:rPr>
          <w:rFonts w:ascii="Arial" w:hAnsi="Arial" w:cs="Arial"/>
          <w:lang w:val="en-AU"/>
        </w:rPr>
        <w:t xml:space="preserve">, 1 patient required a blood transfusion compared to 7 patients among those who did not have TXA </w:t>
      </w:r>
      <w:r w:rsidR="009B73B4" w:rsidRPr="00B95BB1">
        <w:rPr>
          <w:rFonts w:ascii="Arial" w:hAnsi="Arial" w:cs="Arial"/>
          <w:lang w:val="en-AU"/>
        </w:rPr>
        <w:t>(</w:t>
      </w:r>
      <w:r w:rsidR="00343F6B">
        <w:rPr>
          <w:rFonts w:ascii="Arial" w:hAnsi="Arial" w:cs="Arial"/>
          <w:lang w:val="en-AU"/>
        </w:rPr>
        <w:t>1.2</w:t>
      </w:r>
      <w:r w:rsidR="00E34AD5" w:rsidRPr="00B95BB1">
        <w:rPr>
          <w:rFonts w:ascii="Arial" w:hAnsi="Arial" w:cs="Arial"/>
          <w:lang w:val="en-AU"/>
        </w:rPr>
        <w:t>%</w:t>
      </w:r>
      <w:r w:rsidR="009B73B4" w:rsidRPr="00B95BB1">
        <w:rPr>
          <w:rFonts w:ascii="Arial" w:hAnsi="Arial" w:cs="Arial"/>
          <w:lang w:val="en-AU"/>
        </w:rPr>
        <w:t xml:space="preserve"> vs 1</w:t>
      </w:r>
      <w:r w:rsidR="00343F6B">
        <w:rPr>
          <w:rFonts w:ascii="Arial" w:hAnsi="Arial" w:cs="Arial"/>
          <w:lang w:val="en-AU"/>
        </w:rPr>
        <w:t>1</w:t>
      </w:r>
      <w:r w:rsidR="009B73B4" w:rsidRPr="00B95BB1">
        <w:rPr>
          <w:rFonts w:ascii="Arial" w:hAnsi="Arial" w:cs="Arial"/>
          <w:lang w:val="en-AU"/>
        </w:rPr>
        <w:t>.</w:t>
      </w:r>
      <w:r w:rsidR="00343F6B">
        <w:rPr>
          <w:rFonts w:ascii="Arial" w:hAnsi="Arial" w:cs="Arial"/>
          <w:lang w:val="en-AU"/>
        </w:rPr>
        <w:t>1</w:t>
      </w:r>
      <w:r w:rsidR="009B73B4" w:rsidRPr="00B95BB1">
        <w:rPr>
          <w:rFonts w:ascii="Arial" w:hAnsi="Arial" w:cs="Arial"/>
          <w:lang w:val="en-AU"/>
        </w:rPr>
        <w:t>2%, p</w:t>
      </w:r>
      <w:r w:rsidR="00C74382">
        <w:rPr>
          <w:rFonts w:ascii="Arial" w:hAnsi="Arial" w:cs="Arial"/>
          <w:lang w:val="en-AU"/>
        </w:rPr>
        <w:t xml:space="preserve"> </w:t>
      </w:r>
      <w:r w:rsidR="009B73B4" w:rsidRPr="00B95BB1">
        <w:rPr>
          <w:rFonts w:ascii="Arial" w:hAnsi="Arial" w:cs="Arial"/>
          <w:lang w:val="en-AU"/>
        </w:rPr>
        <w:t>= 0.02)</w:t>
      </w:r>
      <w:r w:rsidR="00BB086E">
        <w:rPr>
          <w:rFonts w:ascii="Arial" w:hAnsi="Arial" w:cs="Arial"/>
          <w:lang w:val="en-AU"/>
        </w:rPr>
        <w:t>. The relative risk of 0.11 (95% CI 0.01, 0.86) indicates an 89% reduction in the risk of requiring blood transfusion with TXA administration compared to no TXA.</w:t>
      </w:r>
    </w:p>
    <w:p w14:paraId="421D3EFC" w14:textId="77777777" w:rsidR="00AE16B8" w:rsidRPr="00B95BB1" w:rsidRDefault="00AE16B8" w:rsidP="009A7461">
      <w:pPr>
        <w:spacing w:line="480" w:lineRule="auto"/>
        <w:rPr>
          <w:rFonts w:ascii="Arial" w:hAnsi="Arial" w:cs="Arial"/>
          <w:lang w:val="en-AU"/>
        </w:rPr>
      </w:pPr>
    </w:p>
    <w:p w14:paraId="433A6B1C" w14:textId="5C5F02FF" w:rsidR="009B73B4" w:rsidRPr="00B95BB1" w:rsidRDefault="00AE16B8" w:rsidP="009A7461">
      <w:pPr>
        <w:spacing w:line="480" w:lineRule="auto"/>
        <w:rPr>
          <w:rFonts w:ascii="Arial" w:hAnsi="Arial" w:cs="Arial"/>
          <w:b/>
          <w:lang w:val="en-AU"/>
        </w:rPr>
      </w:pPr>
      <w:r w:rsidRPr="00B95BB1">
        <w:rPr>
          <w:rFonts w:ascii="Arial" w:hAnsi="Arial" w:cs="Arial"/>
          <w:b/>
          <w:lang w:val="en-AU"/>
        </w:rPr>
        <w:lastRenderedPageBreak/>
        <w:t>Conclusion</w:t>
      </w:r>
      <w:r w:rsidR="009B73B4" w:rsidRPr="00B95BB1">
        <w:rPr>
          <w:rFonts w:ascii="Arial" w:hAnsi="Arial" w:cs="Arial"/>
          <w:b/>
          <w:lang w:val="en-AU"/>
        </w:rPr>
        <w:t xml:space="preserve"> </w:t>
      </w:r>
      <w:r w:rsidR="009B73B4" w:rsidRPr="00B95BB1">
        <w:rPr>
          <w:rFonts w:ascii="Arial" w:hAnsi="Arial" w:cs="Arial"/>
          <w:lang w:val="en-AU"/>
        </w:rPr>
        <w:t>TXA is effective in reducing blood transfusion requirements for patients undergoing</w:t>
      </w:r>
      <w:r w:rsidR="006D2AF4" w:rsidRPr="00B95BB1">
        <w:rPr>
          <w:rFonts w:ascii="Arial" w:hAnsi="Arial" w:cs="Arial"/>
          <w:lang w:val="en-AU"/>
        </w:rPr>
        <w:t xml:space="preserve"> </w:t>
      </w:r>
      <w:r w:rsidR="009B73B4" w:rsidRPr="00B95BB1">
        <w:rPr>
          <w:rFonts w:ascii="Arial" w:hAnsi="Arial" w:cs="Arial"/>
          <w:lang w:val="en-AU"/>
        </w:rPr>
        <w:t>DAA</w:t>
      </w:r>
      <w:r w:rsidR="006D2AF4" w:rsidRPr="00B95BB1">
        <w:rPr>
          <w:rFonts w:ascii="Arial" w:hAnsi="Arial" w:cs="Arial"/>
          <w:lang w:val="en-AU"/>
        </w:rPr>
        <w:t xml:space="preserve"> THA</w:t>
      </w:r>
      <w:r w:rsidR="009B73B4" w:rsidRPr="00B95BB1">
        <w:rPr>
          <w:rFonts w:ascii="Arial" w:hAnsi="Arial" w:cs="Arial"/>
          <w:lang w:val="en-AU"/>
        </w:rPr>
        <w:t xml:space="preserve">. This is the first study to demonstrate a significant reduction in blood transfusion requirements when </w:t>
      </w:r>
      <w:r w:rsidR="0060409B" w:rsidRPr="00B95BB1">
        <w:rPr>
          <w:rFonts w:ascii="Arial" w:hAnsi="Arial" w:cs="Arial"/>
          <w:lang w:val="en-AU"/>
        </w:rPr>
        <w:t xml:space="preserve">directly </w:t>
      </w:r>
      <w:r w:rsidR="009B73B4" w:rsidRPr="00B95BB1">
        <w:rPr>
          <w:rFonts w:ascii="Arial" w:hAnsi="Arial" w:cs="Arial"/>
          <w:lang w:val="en-AU"/>
        </w:rPr>
        <w:t xml:space="preserve">analysing TXA use in </w:t>
      </w:r>
      <w:r w:rsidR="00DB03F0" w:rsidRPr="00B95BB1">
        <w:rPr>
          <w:rFonts w:ascii="Arial" w:hAnsi="Arial" w:cs="Arial"/>
          <w:lang w:val="en-AU"/>
        </w:rPr>
        <w:t>DAA</w:t>
      </w:r>
      <w:r w:rsidR="009B73B4" w:rsidRPr="00B95BB1">
        <w:rPr>
          <w:rFonts w:ascii="Arial" w:hAnsi="Arial" w:cs="Arial"/>
          <w:lang w:val="en-AU"/>
        </w:rPr>
        <w:t xml:space="preserve"> THA.</w:t>
      </w:r>
    </w:p>
    <w:p w14:paraId="332BE22C" w14:textId="77777777" w:rsidR="0015588C" w:rsidRPr="00B95BB1" w:rsidRDefault="0015588C" w:rsidP="009A7461">
      <w:pPr>
        <w:spacing w:line="480" w:lineRule="auto"/>
        <w:rPr>
          <w:rFonts w:ascii="Arial" w:hAnsi="Arial" w:cs="Arial"/>
          <w:lang w:val="en-AU"/>
        </w:rPr>
      </w:pPr>
    </w:p>
    <w:p w14:paraId="35907306" w14:textId="77777777" w:rsidR="0004127B" w:rsidRPr="00B95BB1" w:rsidRDefault="0004127B" w:rsidP="009A7461">
      <w:pPr>
        <w:spacing w:line="480" w:lineRule="auto"/>
        <w:rPr>
          <w:rFonts w:ascii="Arial" w:hAnsi="Arial" w:cs="Arial"/>
          <w:b/>
          <w:lang w:val="en-AU"/>
        </w:rPr>
      </w:pPr>
    </w:p>
    <w:p w14:paraId="517C5AAE" w14:textId="5BA1FC8B" w:rsidR="00207E50" w:rsidRPr="00B95BB1" w:rsidRDefault="00207E50" w:rsidP="009A7461">
      <w:pPr>
        <w:spacing w:line="480" w:lineRule="auto"/>
        <w:outlineLvl w:val="0"/>
        <w:rPr>
          <w:rFonts w:ascii="Arial" w:hAnsi="Arial" w:cs="Arial"/>
          <w:lang w:val="en-AU"/>
        </w:rPr>
      </w:pPr>
      <w:r w:rsidRPr="00B95BB1">
        <w:rPr>
          <w:rFonts w:ascii="Arial" w:hAnsi="Arial" w:cs="Arial"/>
          <w:b/>
          <w:lang w:val="en-AU"/>
        </w:rPr>
        <w:t>KEYWORDS</w:t>
      </w:r>
    </w:p>
    <w:p w14:paraId="43892ED0" w14:textId="6BF20244" w:rsidR="00A24E35" w:rsidRPr="00B95BB1" w:rsidRDefault="00663FBE" w:rsidP="009A7461">
      <w:pPr>
        <w:spacing w:line="480" w:lineRule="auto"/>
        <w:outlineLvl w:val="0"/>
        <w:rPr>
          <w:rFonts w:ascii="Arial" w:hAnsi="Arial" w:cs="Arial"/>
          <w:lang w:val="en-AU"/>
        </w:rPr>
      </w:pPr>
      <w:r w:rsidRPr="00B95BB1">
        <w:rPr>
          <w:rFonts w:ascii="Arial" w:hAnsi="Arial" w:cs="Arial"/>
          <w:lang w:val="en-AU"/>
        </w:rPr>
        <w:t>Total hip arthroplasty; Direct anterior approach; T</w:t>
      </w:r>
      <w:r w:rsidR="00A24E35" w:rsidRPr="00B95BB1">
        <w:rPr>
          <w:rFonts w:ascii="Arial" w:hAnsi="Arial" w:cs="Arial"/>
          <w:lang w:val="en-AU"/>
        </w:rPr>
        <w:t>ranexamic</w:t>
      </w:r>
      <w:r w:rsidRPr="00B95BB1">
        <w:rPr>
          <w:rFonts w:ascii="Arial" w:hAnsi="Arial" w:cs="Arial"/>
          <w:lang w:val="en-AU"/>
        </w:rPr>
        <w:t xml:space="preserve"> acid; B</w:t>
      </w:r>
      <w:r w:rsidR="00A24E35" w:rsidRPr="00B95BB1">
        <w:rPr>
          <w:rFonts w:ascii="Arial" w:hAnsi="Arial" w:cs="Arial"/>
          <w:lang w:val="en-AU"/>
        </w:rPr>
        <w:t>lood transfusion</w:t>
      </w:r>
    </w:p>
    <w:p w14:paraId="2AAFB29C" w14:textId="77777777" w:rsidR="00207E50" w:rsidRPr="00B95BB1" w:rsidRDefault="00207E50" w:rsidP="009A7461">
      <w:pPr>
        <w:spacing w:line="480" w:lineRule="auto"/>
        <w:rPr>
          <w:rFonts w:ascii="Arial" w:hAnsi="Arial" w:cs="Arial"/>
          <w:b/>
          <w:lang w:val="en-AU"/>
        </w:rPr>
      </w:pPr>
    </w:p>
    <w:p w14:paraId="3163C5A4" w14:textId="77777777" w:rsidR="00207E50" w:rsidRPr="00B95BB1" w:rsidRDefault="00207E50" w:rsidP="009A7461">
      <w:pPr>
        <w:spacing w:line="480" w:lineRule="auto"/>
        <w:rPr>
          <w:rFonts w:ascii="Arial" w:hAnsi="Arial" w:cs="Arial"/>
          <w:b/>
          <w:lang w:val="en-AU"/>
        </w:rPr>
      </w:pPr>
    </w:p>
    <w:p w14:paraId="01997A23" w14:textId="77777777" w:rsidR="00AB55D6" w:rsidRPr="00B95BB1" w:rsidRDefault="00640C57" w:rsidP="009A7461">
      <w:pPr>
        <w:spacing w:line="480" w:lineRule="auto"/>
        <w:outlineLvl w:val="0"/>
        <w:rPr>
          <w:rFonts w:ascii="Arial" w:hAnsi="Arial" w:cs="Arial"/>
          <w:b/>
          <w:lang w:val="en-AU"/>
        </w:rPr>
      </w:pPr>
      <w:r w:rsidRPr="00B95BB1">
        <w:rPr>
          <w:rFonts w:ascii="Arial" w:hAnsi="Arial" w:cs="Arial"/>
          <w:b/>
          <w:lang w:val="en-AU"/>
        </w:rPr>
        <w:t>INTRODUCTION</w:t>
      </w:r>
    </w:p>
    <w:p w14:paraId="04B86FDA" w14:textId="70557CB9" w:rsidR="00AC41F0" w:rsidRPr="00AC41F0" w:rsidRDefault="00AC41F0" w:rsidP="00AC41F0">
      <w:pPr>
        <w:spacing w:line="480" w:lineRule="auto"/>
        <w:rPr>
          <w:rFonts w:ascii="Arial" w:hAnsi="Arial" w:cs="Arial"/>
          <w:lang w:val="en-AU"/>
        </w:rPr>
      </w:pPr>
      <w:r w:rsidRPr="00AC41F0">
        <w:rPr>
          <w:rFonts w:ascii="Arial" w:hAnsi="Arial" w:cs="Arial"/>
          <w:lang w:val="en-AU"/>
        </w:rPr>
        <w:t>There is strong evidence to support the use of tranexamic</w:t>
      </w:r>
      <w:r>
        <w:rPr>
          <w:rFonts w:ascii="Arial" w:hAnsi="Arial" w:cs="Arial"/>
          <w:lang w:val="en-AU"/>
        </w:rPr>
        <w:t xml:space="preserve"> </w:t>
      </w:r>
      <w:r w:rsidRPr="00AC41F0">
        <w:rPr>
          <w:rFonts w:ascii="Arial" w:hAnsi="Arial" w:cs="Arial"/>
          <w:lang w:val="en-AU"/>
        </w:rPr>
        <w:t>acid (TXA) in total hip arthroplasty (THA) to reduce perioperative</w:t>
      </w:r>
      <w:r>
        <w:rPr>
          <w:rFonts w:ascii="Arial" w:hAnsi="Arial" w:cs="Arial"/>
          <w:lang w:val="en-AU"/>
        </w:rPr>
        <w:t xml:space="preserve"> </w:t>
      </w:r>
      <w:r w:rsidRPr="00AC41F0">
        <w:rPr>
          <w:rFonts w:ascii="Arial" w:hAnsi="Arial" w:cs="Arial"/>
          <w:lang w:val="en-AU"/>
        </w:rPr>
        <w:t>blood loss and blood transfusion rates.1–7 TXA is</w:t>
      </w:r>
      <w:r>
        <w:rPr>
          <w:rFonts w:ascii="Arial" w:hAnsi="Arial" w:cs="Arial"/>
          <w:lang w:val="en-AU"/>
        </w:rPr>
        <w:t xml:space="preserve"> </w:t>
      </w:r>
      <w:r w:rsidRPr="00AC41F0">
        <w:rPr>
          <w:rFonts w:ascii="Arial" w:hAnsi="Arial" w:cs="Arial"/>
          <w:lang w:val="en-AU"/>
        </w:rPr>
        <w:t>an anti-fibrinolytic agent that inhibits plasminogen activation</w:t>
      </w:r>
      <w:r>
        <w:rPr>
          <w:rFonts w:ascii="Arial" w:hAnsi="Arial" w:cs="Arial"/>
          <w:lang w:val="en-AU"/>
        </w:rPr>
        <w:t xml:space="preserve"> </w:t>
      </w:r>
      <w:r w:rsidRPr="00AC41F0">
        <w:rPr>
          <w:rFonts w:ascii="Arial" w:hAnsi="Arial" w:cs="Arial"/>
          <w:lang w:val="en-AU"/>
        </w:rPr>
        <w:t>to reduce blood clot degradation.8 It has not been associated</w:t>
      </w:r>
      <w:r>
        <w:rPr>
          <w:rFonts w:ascii="Arial" w:hAnsi="Arial" w:cs="Arial"/>
          <w:lang w:val="en-AU"/>
        </w:rPr>
        <w:t xml:space="preserve"> </w:t>
      </w:r>
      <w:r w:rsidRPr="00AC41F0">
        <w:rPr>
          <w:rFonts w:ascii="Arial" w:hAnsi="Arial" w:cs="Arial"/>
          <w:lang w:val="en-AU"/>
        </w:rPr>
        <w:t>with increased rates of deep vein</w:t>
      </w:r>
      <w:r>
        <w:rPr>
          <w:rFonts w:ascii="Arial" w:hAnsi="Arial" w:cs="Arial"/>
          <w:lang w:val="en-AU"/>
        </w:rPr>
        <w:t xml:space="preserve"> </w:t>
      </w:r>
      <w:r w:rsidRPr="00AC41F0">
        <w:rPr>
          <w:rFonts w:ascii="Arial" w:hAnsi="Arial" w:cs="Arial"/>
          <w:lang w:val="en-AU"/>
        </w:rPr>
        <w:t>thrombosis or</w:t>
      </w:r>
      <w:r>
        <w:rPr>
          <w:rFonts w:ascii="Arial" w:hAnsi="Arial" w:cs="Arial"/>
          <w:lang w:val="en-AU"/>
        </w:rPr>
        <w:t xml:space="preserve"> </w:t>
      </w:r>
      <w:r w:rsidRPr="00AC41F0">
        <w:rPr>
          <w:rFonts w:ascii="Arial" w:hAnsi="Arial" w:cs="Arial"/>
          <w:lang w:val="en-AU"/>
        </w:rPr>
        <w:t>venous thromboembolism and has few contraindications</w:t>
      </w:r>
      <w:r>
        <w:rPr>
          <w:rFonts w:ascii="Arial" w:hAnsi="Arial" w:cs="Arial"/>
          <w:lang w:val="en-AU"/>
        </w:rPr>
        <w:t xml:space="preserve"> </w:t>
      </w:r>
      <w:r w:rsidRPr="00AC41F0">
        <w:rPr>
          <w:rFonts w:ascii="Arial" w:hAnsi="Arial" w:cs="Arial"/>
          <w:lang w:val="en-AU"/>
        </w:rPr>
        <w:t>for use</w:t>
      </w:r>
      <w:r>
        <w:rPr>
          <w:rFonts w:ascii="Arial" w:hAnsi="Arial" w:cs="Arial"/>
          <w:lang w:val="en-AU"/>
        </w:rPr>
        <w:t xml:space="preserve"> (1</w:t>
      </w:r>
      <w:r w:rsidRPr="00AC41F0">
        <w:rPr>
          <w:rFonts w:ascii="Arial" w:hAnsi="Arial" w:cs="Arial"/>
          <w:lang w:val="en-AU"/>
        </w:rPr>
        <w:t>,9–11</w:t>
      </w:r>
      <w:r>
        <w:rPr>
          <w:rFonts w:ascii="Arial" w:hAnsi="Arial" w:cs="Arial"/>
          <w:lang w:val="en-AU"/>
        </w:rPr>
        <w:t>)</w:t>
      </w:r>
    </w:p>
    <w:p w14:paraId="5CF7F07F" w14:textId="4B8B2B79" w:rsidR="00AC41F0" w:rsidRPr="00AC41F0" w:rsidRDefault="00AC41F0" w:rsidP="00AC41F0">
      <w:pPr>
        <w:spacing w:line="480" w:lineRule="auto"/>
        <w:rPr>
          <w:rFonts w:ascii="Arial" w:hAnsi="Arial" w:cs="Arial"/>
          <w:lang w:val="en-AU"/>
        </w:rPr>
      </w:pPr>
      <w:r w:rsidRPr="00AC41F0">
        <w:rPr>
          <w:rFonts w:ascii="Arial" w:hAnsi="Arial" w:cs="Arial"/>
          <w:lang w:val="en-AU"/>
        </w:rPr>
        <w:t>There have been several randomised controlled trials</w:t>
      </w:r>
      <w:r>
        <w:rPr>
          <w:rFonts w:ascii="Arial" w:hAnsi="Arial" w:cs="Arial"/>
          <w:lang w:val="en-AU"/>
        </w:rPr>
        <w:t xml:space="preserve"> </w:t>
      </w:r>
      <w:r w:rsidRPr="00AC41F0">
        <w:rPr>
          <w:rFonts w:ascii="Arial" w:hAnsi="Arial" w:cs="Arial"/>
          <w:lang w:val="en-AU"/>
        </w:rPr>
        <w:t>that have compared TXA to</w:t>
      </w:r>
      <w:r>
        <w:rPr>
          <w:rFonts w:ascii="Arial" w:hAnsi="Arial" w:cs="Arial"/>
          <w:lang w:val="en-AU"/>
        </w:rPr>
        <w:t xml:space="preserve"> </w:t>
      </w:r>
      <w:r w:rsidRPr="00AC41F0">
        <w:rPr>
          <w:rFonts w:ascii="Arial" w:hAnsi="Arial" w:cs="Arial"/>
          <w:lang w:val="en-AU"/>
        </w:rPr>
        <w:t>placebo in THA and found</w:t>
      </w:r>
      <w:r>
        <w:rPr>
          <w:rFonts w:ascii="Arial" w:hAnsi="Arial" w:cs="Arial"/>
          <w:lang w:val="en-AU"/>
        </w:rPr>
        <w:t xml:space="preserve"> </w:t>
      </w:r>
      <w:r w:rsidRPr="00AC41F0">
        <w:rPr>
          <w:rFonts w:ascii="Arial" w:hAnsi="Arial" w:cs="Arial"/>
          <w:lang w:val="en-AU"/>
        </w:rPr>
        <w:t>significant reductions in blood loss and postoperative</w:t>
      </w:r>
    </w:p>
    <w:p w14:paraId="52D29BAE" w14:textId="3FDEE825" w:rsidR="00AC41F0" w:rsidRPr="00AC41F0" w:rsidRDefault="00AC41F0" w:rsidP="00AC41F0">
      <w:pPr>
        <w:spacing w:line="480" w:lineRule="auto"/>
        <w:rPr>
          <w:rFonts w:ascii="Arial" w:hAnsi="Arial" w:cs="Arial"/>
          <w:lang w:val="en-AU"/>
        </w:rPr>
      </w:pPr>
      <w:r w:rsidRPr="00AC41F0">
        <w:rPr>
          <w:rFonts w:ascii="Arial" w:hAnsi="Arial" w:cs="Arial"/>
          <w:lang w:val="en-AU"/>
        </w:rPr>
        <w:t>blood transfusion requirements</w:t>
      </w:r>
      <w:r>
        <w:rPr>
          <w:rFonts w:ascii="Arial" w:hAnsi="Arial" w:cs="Arial"/>
          <w:lang w:val="en-AU"/>
        </w:rPr>
        <w:t xml:space="preserve"> (</w:t>
      </w:r>
      <w:r w:rsidRPr="00AC41F0">
        <w:rPr>
          <w:rFonts w:ascii="Arial" w:hAnsi="Arial" w:cs="Arial"/>
          <w:lang w:val="en-AU"/>
        </w:rPr>
        <w:t>2–4,7,12</w:t>
      </w:r>
      <w:r>
        <w:rPr>
          <w:rFonts w:ascii="Arial" w:hAnsi="Arial" w:cs="Arial"/>
          <w:lang w:val="en-AU"/>
        </w:rPr>
        <w:t>).</w:t>
      </w:r>
      <w:r w:rsidRPr="00AC41F0">
        <w:rPr>
          <w:rFonts w:ascii="Arial" w:hAnsi="Arial" w:cs="Arial"/>
          <w:lang w:val="en-AU"/>
        </w:rPr>
        <w:t xml:space="preserve"> </w:t>
      </w:r>
      <w:proofErr w:type="spellStart"/>
      <w:r w:rsidRPr="00AC41F0">
        <w:rPr>
          <w:rFonts w:ascii="Arial" w:hAnsi="Arial" w:cs="Arial"/>
          <w:lang w:val="en-AU"/>
        </w:rPr>
        <w:t>Sukeik</w:t>
      </w:r>
      <w:proofErr w:type="spellEnd"/>
      <w:r w:rsidRPr="00AC41F0">
        <w:rPr>
          <w:rFonts w:ascii="Arial" w:hAnsi="Arial" w:cs="Arial"/>
          <w:lang w:val="en-AU"/>
        </w:rPr>
        <w:t xml:space="preserve"> et al.1 found</w:t>
      </w:r>
      <w:r>
        <w:rPr>
          <w:rFonts w:ascii="Arial" w:hAnsi="Arial" w:cs="Arial"/>
          <w:lang w:val="en-AU"/>
        </w:rPr>
        <w:t xml:space="preserve"> </w:t>
      </w:r>
      <w:r w:rsidRPr="00AC41F0">
        <w:rPr>
          <w:rFonts w:ascii="Arial" w:hAnsi="Arial" w:cs="Arial"/>
          <w:lang w:val="en-AU"/>
        </w:rPr>
        <w:t>the use of TXA in THA has resulted in a 20% reduction in</w:t>
      </w:r>
      <w:r>
        <w:rPr>
          <w:rFonts w:ascii="Arial" w:hAnsi="Arial" w:cs="Arial"/>
          <w:lang w:val="en-AU"/>
        </w:rPr>
        <w:t xml:space="preserve"> </w:t>
      </w:r>
      <w:r w:rsidRPr="00AC41F0">
        <w:rPr>
          <w:rFonts w:ascii="Arial" w:hAnsi="Arial" w:cs="Arial"/>
          <w:lang w:val="en-AU"/>
        </w:rPr>
        <w:t>the proportion of patients requiring blood transfusion.</w:t>
      </w:r>
    </w:p>
    <w:p w14:paraId="6B5ECB89" w14:textId="77777777" w:rsidR="00AC41F0" w:rsidRPr="00AC41F0" w:rsidRDefault="00AC41F0" w:rsidP="00AC41F0">
      <w:pPr>
        <w:spacing w:line="480" w:lineRule="auto"/>
        <w:rPr>
          <w:rFonts w:ascii="Arial" w:hAnsi="Arial" w:cs="Arial"/>
          <w:lang w:val="en-AU"/>
        </w:rPr>
      </w:pPr>
    </w:p>
    <w:p w14:paraId="61CBFA84" w14:textId="1886026D" w:rsidR="00AC41F0" w:rsidRDefault="00AC41F0" w:rsidP="00AC41F0">
      <w:pPr>
        <w:spacing w:line="480" w:lineRule="auto"/>
        <w:rPr>
          <w:rFonts w:ascii="Arial" w:hAnsi="Arial" w:cs="Arial"/>
          <w:lang w:val="en-AU"/>
        </w:rPr>
      </w:pPr>
      <w:r w:rsidRPr="00AC41F0">
        <w:rPr>
          <w:rFonts w:ascii="Arial" w:hAnsi="Arial" w:cs="Arial"/>
          <w:lang w:val="en-AU"/>
        </w:rPr>
        <w:t>Allogenic blood transfusion post THA is costly, both</w:t>
      </w:r>
      <w:r>
        <w:rPr>
          <w:rFonts w:ascii="Arial" w:hAnsi="Arial" w:cs="Arial"/>
          <w:lang w:val="en-AU"/>
        </w:rPr>
        <w:t xml:space="preserve"> </w:t>
      </w:r>
      <w:r w:rsidRPr="00AC41F0">
        <w:rPr>
          <w:rFonts w:ascii="Arial" w:hAnsi="Arial" w:cs="Arial"/>
          <w:lang w:val="en-AU"/>
        </w:rPr>
        <w:t>from an economic and resource perspective. In Australia,</w:t>
      </w:r>
      <w:r>
        <w:rPr>
          <w:rFonts w:ascii="Arial" w:hAnsi="Arial" w:cs="Arial"/>
          <w:lang w:val="en-AU"/>
        </w:rPr>
        <w:t xml:space="preserve"> </w:t>
      </w:r>
      <w:r w:rsidRPr="00AC41F0">
        <w:rPr>
          <w:rFonts w:ascii="Arial" w:hAnsi="Arial" w:cs="Arial"/>
          <w:lang w:val="en-AU"/>
        </w:rPr>
        <w:t>the cost of a single unit of packed red blood cells is</w:t>
      </w:r>
      <w:r>
        <w:rPr>
          <w:rFonts w:ascii="Arial" w:hAnsi="Arial" w:cs="Arial"/>
          <w:lang w:val="en-AU"/>
        </w:rPr>
        <w:t xml:space="preserve"> </w:t>
      </w:r>
      <w:r w:rsidRPr="00AC41F0">
        <w:rPr>
          <w:rFonts w:ascii="Arial" w:hAnsi="Arial" w:cs="Arial"/>
          <w:lang w:val="en-AU"/>
        </w:rPr>
        <w:t>$AU401.13 Blood transfusion is also known to be associated</w:t>
      </w:r>
      <w:r>
        <w:rPr>
          <w:rFonts w:ascii="Arial" w:hAnsi="Arial" w:cs="Arial"/>
          <w:lang w:val="en-AU"/>
        </w:rPr>
        <w:t xml:space="preserve"> </w:t>
      </w:r>
      <w:r w:rsidRPr="00AC41F0">
        <w:rPr>
          <w:rFonts w:ascii="Arial" w:hAnsi="Arial" w:cs="Arial"/>
          <w:lang w:val="en-AU"/>
        </w:rPr>
        <w:t xml:space="preserve">with numerous adverse </w:t>
      </w:r>
      <w:r w:rsidRPr="00AC41F0">
        <w:rPr>
          <w:rFonts w:ascii="Arial" w:hAnsi="Arial" w:cs="Arial"/>
          <w:lang w:val="en-AU"/>
        </w:rPr>
        <w:lastRenderedPageBreak/>
        <w:t>events including acute transfusion</w:t>
      </w:r>
      <w:r>
        <w:rPr>
          <w:rFonts w:ascii="Arial" w:hAnsi="Arial" w:cs="Arial"/>
          <w:lang w:val="en-AU"/>
        </w:rPr>
        <w:t xml:space="preserve"> </w:t>
      </w:r>
      <w:r w:rsidRPr="00AC41F0">
        <w:rPr>
          <w:rFonts w:ascii="Arial" w:hAnsi="Arial" w:cs="Arial"/>
          <w:lang w:val="en-AU"/>
        </w:rPr>
        <w:t>reactions, immunological reactions, transmission of infections, and transfusion-induced coagulopathy</w:t>
      </w:r>
      <w:r>
        <w:rPr>
          <w:rFonts w:ascii="Arial" w:hAnsi="Arial" w:cs="Arial"/>
          <w:lang w:val="en-AU"/>
        </w:rPr>
        <w:t xml:space="preserve"> (</w:t>
      </w:r>
      <w:r w:rsidRPr="00AC41F0">
        <w:rPr>
          <w:rFonts w:ascii="Arial" w:hAnsi="Arial" w:cs="Arial"/>
          <w:lang w:val="en-AU"/>
        </w:rPr>
        <w:t>14–16</w:t>
      </w:r>
      <w:r>
        <w:rPr>
          <w:rFonts w:ascii="Arial" w:hAnsi="Arial" w:cs="Arial"/>
          <w:lang w:val="en-AU"/>
        </w:rPr>
        <w:t>).</w:t>
      </w:r>
    </w:p>
    <w:p w14:paraId="6817D714" w14:textId="77777777" w:rsidR="00AC41F0" w:rsidRPr="00AC41F0" w:rsidRDefault="00AC41F0" w:rsidP="00AC41F0">
      <w:pPr>
        <w:spacing w:line="480" w:lineRule="auto"/>
        <w:rPr>
          <w:rFonts w:ascii="Arial" w:hAnsi="Arial" w:cs="Arial"/>
          <w:lang w:val="en-AU"/>
        </w:rPr>
      </w:pPr>
    </w:p>
    <w:p w14:paraId="620E356C" w14:textId="7BBE5662" w:rsidR="00AC41F0" w:rsidRPr="00AC41F0" w:rsidRDefault="00AC41F0" w:rsidP="00AC41F0">
      <w:pPr>
        <w:spacing w:line="480" w:lineRule="auto"/>
        <w:rPr>
          <w:rFonts w:ascii="Arial" w:hAnsi="Arial" w:cs="Arial"/>
          <w:lang w:val="en-AU"/>
        </w:rPr>
      </w:pPr>
      <w:r w:rsidRPr="00AC41F0">
        <w:rPr>
          <w:rFonts w:ascii="Arial" w:hAnsi="Arial" w:cs="Arial"/>
          <w:lang w:val="en-AU"/>
        </w:rPr>
        <w:t>There is also evidence to suggest that patients who require</w:t>
      </w:r>
      <w:r>
        <w:rPr>
          <w:rFonts w:ascii="Arial" w:hAnsi="Arial" w:cs="Arial"/>
          <w:lang w:val="en-AU"/>
        </w:rPr>
        <w:t xml:space="preserve"> </w:t>
      </w:r>
      <w:r w:rsidRPr="00AC41F0">
        <w:rPr>
          <w:rFonts w:ascii="Arial" w:hAnsi="Arial" w:cs="Arial"/>
          <w:lang w:val="en-AU"/>
        </w:rPr>
        <w:t>blood transfusion post THA have greater morbidity, including</w:t>
      </w:r>
      <w:r>
        <w:rPr>
          <w:rFonts w:ascii="Arial" w:hAnsi="Arial" w:cs="Arial"/>
          <w:lang w:val="en-AU"/>
        </w:rPr>
        <w:t xml:space="preserve"> </w:t>
      </w:r>
      <w:r w:rsidRPr="00AC41F0">
        <w:rPr>
          <w:rFonts w:ascii="Arial" w:hAnsi="Arial" w:cs="Arial"/>
          <w:lang w:val="en-AU"/>
        </w:rPr>
        <w:t>higher rates of wound problems, respiratory infections,</w:t>
      </w:r>
      <w:r>
        <w:rPr>
          <w:rFonts w:ascii="Arial" w:hAnsi="Arial" w:cs="Arial"/>
          <w:lang w:val="en-AU"/>
        </w:rPr>
        <w:t xml:space="preserve"> </w:t>
      </w:r>
      <w:r w:rsidRPr="00AC41F0">
        <w:rPr>
          <w:rFonts w:ascii="Arial" w:hAnsi="Arial" w:cs="Arial"/>
          <w:lang w:val="en-AU"/>
        </w:rPr>
        <w:t>and increased length of hospital stay (LOS)</w:t>
      </w:r>
      <w:r>
        <w:rPr>
          <w:rFonts w:ascii="Arial" w:hAnsi="Arial" w:cs="Arial"/>
          <w:lang w:val="en-AU"/>
        </w:rPr>
        <w:t xml:space="preserve"> (</w:t>
      </w:r>
      <w:r w:rsidRPr="00AC41F0">
        <w:rPr>
          <w:rFonts w:ascii="Arial" w:hAnsi="Arial" w:cs="Arial"/>
          <w:lang w:val="en-AU"/>
        </w:rPr>
        <w:t>5,17–19</w:t>
      </w:r>
      <w:r>
        <w:rPr>
          <w:rFonts w:ascii="Arial" w:hAnsi="Arial" w:cs="Arial"/>
          <w:lang w:val="en-AU"/>
        </w:rPr>
        <w:t>).</w:t>
      </w:r>
    </w:p>
    <w:p w14:paraId="65244C09" w14:textId="77777777" w:rsidR="00AC41F0" w:rsidRDefault="00AC41F0" w:rsidP="00AC41F0">
      <w:pPr>
        <w:spacing w:line="480" w:lineRule="auto"/>
        <w:rPr>
          <w:rFonts w:ascii="Arial" w:hAnsi="Arial" w:cs="Arial"/>
          <w:lang w:val="en-AU"/>
        </w:rPr>
      </w:pPr>
    </w:p>
    <w:p w14:paraId="041232CF" w14:textId="3F1E4DB3" w:rsidR="00AC41F0" w:rsidRDefault="00AC41F0" w:rsidP="00AC41F0">
      <w:pPr>
        <w:spacing w:line="480" w:lineRule="auto"/>
        <w:rPr>
          <w:rFonts w:ascii="Arial" w:hAnsi="Arial" w:cs="Arial"/>
          <w:lang w:val="en-AU"/>
        </w:rPr>
      </w:pPr>
      <w:r w:rsidRPr="00AC41F0">
        <w:rPr>
          <w:rFonts w:ascii="Arial" w:hAnsi="Arial" w:cs="Arial"/>
          <w:lang w:val="en-AU"/>
        </w:rPr>
        <w:t>THA can be performed through a variety of surgical</w:t>
      </w:r>
      <w:r>
        <w:rPr>
          <w:rFonts w:ascii="Arial" w:hAnsi="Arial" w:cs="Arial"/>
          <w:lang w:val="en-AU"/>
        </w:rPr>
        <w:t xml:space="preserve"> </w:t>
      </w:r>
      <w:r w:rsidRPr="00AC41F0">
        <w:rPr>
          <w:rFonts w:ascii="Arial" w:hAnsi="Arial" w:cs="Arial"/>
          <w:lang w:val="en-AU"/>
        </w:rPr>
        <w:t>approaches and in recent years the anterior approach has</w:t>
      </w:r>
      <w:r>
        <w:rPr>
          <w:rFonts w:ascii="Arial" w:hAnsi="Arial" w:cs="Arial"/>
          <w:lang w:val="en-AU"/>
        </w:rPr>
        <w:t xml:space="preserve"> </w:t>
      </w:r>
      <w:r w:rsidRPr="00AC41F0">
        <w:rPr>
          <w:rFonts w:ascii="Arial" w:hAnsi="Arial" w:cs="Arial"/>
          <w:lang w:val="en-AU"/>
        </w:rPr>
        <w:t>gained popularity. The anterior approach utilises</w:t>
      </w:r>
      <w:r>
        <w:rPr>
          <w:rFonts w:ascii="Arial" w:hAnsi="Arial" w:cs="Arial"/>
          <w:lang w:val="en-AU"/>
        </w:rPr>
        <w:t xml:space="preserve"> </w:t>
      </w:r>
      <w:r w:rsidRPr="00AC41F0">
        <w:rPr>
          <w:rFonts w:ascii="Arial" w:hAnsi="Arial" w:cs="Arial"/>
          <w:lang w:val="en-AU"/>
        </w:rPr>
        <w:t>intermuscular</w:t>
      </w:r>
      <w:r>
        <w:rPr>
          <w:rFonts w:ascii="Arial" w:hAnsi="Arial" w:cs="Arial"/>
          <w:lang w:val="en-AU"/>
        </w:rPr>
        <w:t xml:space="preserve"> </w:t>
      </w:r>
      <w:r w:rsidRPr="00AC41F0">
        <w:rPr>
          <w:rFonts w:ascii="Arial" w:hAnsi="Arial" w:cs="Arial"/>
          <w:lang w:val="en-AU"/>
        </w:rPr>
        <w:t>and inter-nervous planes,20,21 thereby avoiding</w:t>
      </w:r>
      <w:r>
        <w:rPr>
          <w:rFonts w:ascii="Arial" w:hAnsi="Arial" w:cs="Arial"/>
          <w:lang w:val="en-AU"/>
        </w:rPr>
        <w:t xml:space="preserve"> </w:t>
      </w:r>
      <w:r w:rsidRPr="00AC41F0">
        <w:rPr>
          <w:rFonts w:ascii="Arial" w:hAnsi="Arial" w:cs="Arial"/>
          <w:lang w:val="en-AU"/>
        </w:rPr>
        <w:t>dissection of muscle beds and possibly reducing local soft</w:t>
      </w:r>
      <w:r>
        <w:rPr>
          <w:rFonts w:ascii="Arial" w:hAnsi="Arial" w:cs="Arial"/>
          <w:lang w:val="en-AU"/>
        </w:rPr>
        <w:t xml:space="preserve"> </w:t>
      </w:r>
      <w:r w:rsidRPr="00AC41F0">
        <w:rPr>
          <w:rFonts w:ascii="Arial" w:hAnsi="Arial" w:cs="Arial"/>
          <w:lang w:val="en-AU"/>
        </w:rPr>
        <w:t>tissue</w:t>
      </w:r>
      <w:r>
        <w:rPr>
          <w:rFonts w:ascii="Arial" w:hAnsi="Arial" w:cs="Arial"/>
          <w:lang w:val="en-AU"/>
        </w:rPr>
        <w:t xml:space="preserve"> </w:t>
      </w:r>
      <w:r w:rsidRPr="00AC41F0">
        <w:rPr>
          <w:rFonts w:ascii="Arial" w:hAnsi="Arial" w:cs="Arial"/>
          <w:lang w:val="en-AU"/>
        </w:rPr>
        <w:t>trauma.22 Recent studies on blood loss and transfusion</w:t>
      </w:r>
      <w:r>
        <w:rPr>
          <w:rFonts w:ascii="Arial" w:hAnsi="Arial" w:cs="Arial"/>
          <w:lang w:val="en-AU"/>
        </w:rPr>
        <w:t xml:space="preserve"> </w:t>
      </w:r>
      <w:r w:rsidRPr="00AC41F0">
        <w:rPr>
          <w:rFonts w:ascii="Arial" w:hAnsi="Arial" w:cs="Arial"/>
          <w:lang w:val="en-AU"/>
        </w:rPr>
        <w:t>rates with regards to surgical approach for THA have</w:t>
      </w:r>
      <w:r>
        <w:rPr>
          <w:rFonts w:ascii="Arial" w:hAnsi="Arial" w:cs="Arial"/>
          <w:lang w:val="en-AU"/>
        </w:rPr>
        <w:t xml:space="preserve"> </w:t>
      </w:r>
      <w:r w:rsidRPr="00AC41F0">
        <w:rPr>
          <w:rFonts w:ascii="Arial" w:hAnsi="Arial" w:cs="Arial"/>
          <w:lang w:val="en-AU"/>
        </w:rPr>
        <w:t>not</w:t>
      </w:r>
      <w:r>
        <w:rPr>
          <w:rFonts w:ascii="Arial" w:hAnsi="Arial" w:cs="Arial"/>
          <w:lang w:val="en-AU"/>
        </w:rPr>
        <w:t xml:space="preserve"> </w:t>
      </w:r>
      <w:r w:rsidRPr="00AC41F0">
        <w:rPr>
          <w:rFonts w:ascii="Arial" w:hAnsi="Arial" w:cs="Arial"/>
          <w:lang w:val="en-AU"/>
        </w:rPr>
        <w:t>demonstrated consistent results</w:t>
      </w:r>
      <w:r>
        <w:rPr>
          <w:rFonts w:ascii="Arial" w:hAnsi="Arial" w:cs="Arial"/>
          <w:lang w:val="en-AU"/>
        </w:rPr>
        <w:t xml:space="preserve"> (</w:t>
      </w:r>
      <w:r w:rsidRPr="00AC41F0">
        <w:rPr>
          <w:rFonts w:ascii="Arial" w:hAnsi="Arial" w:cs="Arial"/>
          <w:lang w:val="en-AU"/>
        </w:rPr>
        <w:t>23</w:t>
      </w:r>
      <w:r>
        <w:rPr>
          <w:rFonts w:ascii="Arial" w:hAnsi="Arial" w:cs="Arial"/>
          <w:lang w:val="en-AU"/>
        </w:rPr>
        <w:t>).</w:t>
      </w:r>
    </w:p>
    <w:p w14:paraId="6CCEF5AD" w14:textId="77777777" w:rsidR="00AC41F0" w:rsidRPr="00AC41F0" w:rsidRDefault="00AC41F0" w:rsidP="00AC41F0">
      <w:pPr>
        <w:spacing w:line="480" w:lineRule="auto"/>
        <w:rPr>
          <w:rFonts w:ascii="Arial" w:hAnsi="Arial" w:cs="Arial"/>
          <w:lang w:val="en-AU"/>
        </w:rPr>
      </w:pPr>
    </w:p>
    <w:p w14:paraId="7C9594E7" w14:textId="2AE9456A" w:rsidR="00AC41F0" w:rsidRPr="00AC41F0" w:rsidRDefault="00AC41F0" w:rsidP="00AC41F0">
      <w:pPr>
        <w:spacing w:line="480" w:lineRule="auto"/>
        <w:rPr>
          <w:rFonts w:ascii="Arial" w:hAnsi="Arial" w:cs="Arial"/>
          <w:lang w:val="en-AU"/>
        </w:rPr>
      </w:pPr>
      <w:r w:rsidRPr="00AC41F0">
        <w:rPr>
          <w:rFonts w:ascii="Arial" w:hAnsi="Arial" w:cs="Arial"/>
          <w:lang w:val="en-AU"/>
        </w:rPr>
        <w:t xml:space="preserve">At present, </w:t>
      </w:r>
      <w:proofErr w:type="gramStart"/>
      <w:r w:rsidRPr="00AC41F0">
        <w:rPr>
          <w:rFonts w:ascii="Arial" w:hAnsi="Arial" w:cs="Arial"/>
          <w:lang w:val="en-AU"/>
        </w:rPr>
        <w:t>the vast majority of</w:t>
      </w:r>
      <w:proofErr w:type="gramEnd"/>
      <w:r w:rsidRPr="00AC41F0">
        <w:rPr>
          <w:rFonts w:ascii="Arial" w:hAnsi="Arial" w:cs="Arial"/>
          <w:lang w:val="en-AU"/>
        </w:rPr>
        <w:t xml:space="preserve"> studies analysing the</w:t>
      </w:r>
      <w:r>
        <w:rPr>
          <w:rFonts w:ascii="Arial" w:hAnsi="Arial" w:cs="Arial"/>
          <w:lang w:val="en-AU"/>
        </w:rPr>
        <w:t xml:space="preserve"> </w:t>
      </w:r>
      <w:r w:rsidRPr="00AC41F0">
        <w:rPr>
          <w:rFonts w:ascii="Arial" w:hAnsi="Arial" w:cs="Arial"/>
          <w:lang w:val="en-AU"/>
        </w:rPr>
        <w:t>efficacy of TXA in THA have not independently evaluated</w:t>
      </w:r>
      <w:r>
        <w:rPr>
          <w:rFonts w:ascii="Arial" w:hAnsi="Arial" w:cs="Arial"/>
          <w:lang w:val="en-AU"/>
        </w:rPr>
        <w:t xml:space="preserve"> </w:t>
      </w:r>
      <w:r w:rsidRPr="00AC41F0">
        <w:rPr>
          <w:rFonts w:ascii="Arial" w:hAnsi="Arial" w:cs="Arial"/>
          <w:lang w:val="en-AU"/>
        </w:rPr>
        <w:t xml:space="preserve">the influence surgical approach has on its efficacy. </w:t>
      </w:r>
      <w:proofErr w:type="gramStart"/>
      <w:r w:rsidRPr="00AC41F0">
        <w:rPr>
          <w:rFonts w:ascii="Arial" w:hAnsi="Arial" w:cs="Arial"/>
          <w:lang w:val="en-AU"/>
        </w:rPr>
        <w:t>In</w:t>
      </w:r>
      <w:r>
        <w:rPr>
          <w:rFonts w:ascii="Arial" w:hAnsi="Arial" w:cs="Arial"/>
          <w:lang w:val="en-AU"/>
        </w:rPr>
        <w:t xml:space="preserve"> </w:t>
      </w:r>
      <w:r w:rsidRPr="00AC41F0">
        <w:rPr>
          <w:rFonts w:ascii="Arial" w:hAnsi="Arial" w:cs="Arial"/>
          <w:lang w:val="en-AU"/>
        </w:rPr>
        <w:t>particular,</w:t>
      </w:r>
      <w:r>
        <w:rPr>
          <w:rFonts w:ascii="Arial" w:hAnsi="Arial" w:cs="Arial"/>
          <w:lang w:val="en-AU"/>
        </w:rPr>
        <w:t xml:space="preserve"> </w:t>
      </w:r>
      <w:r w:rsidRPr="00AC41F0">
        <w:rPr>
          <w:rFonts w:ascii="Arial" w:hAnsi="Arial" w:cs="Arial"/>
          <w:lang w:val="en-AU"/>
        </w:rPr>
        <w:t>there</w:t>
      </w:r>
      <w:proofErr w:type="gramEnd"/>
      <w:r w:rsidRPr="00AC41F0">
        <w:rPr>
          <w:rFonts w:ascii="Arial" w:hAnsi="Arial" w:cs="Arial"/>
          <w:lang w:val="en-AU"/>
        </w:rPr>
        <w:t xml:space="preserve"> is little research looking into the efficacy of</w:t>
      </w:r>
      <w:r>
        <w:rPr>
          <w:rFonts w:ascii="Arial" w:hAnsi="Arial" w:cs="Arial"/>
          <w:lang w:val="en-AU"/>
        </w:rPr>
        <w:t xml:space="preserve"> </w:t>
      </w:r>
      <w:r w:rsidRPr="00AC41F0">
        <w:rPr>
          <w:rFonts w:ascii="Arial" w:hAnsi="Arial" w:cs="Arial"/>
          <w:lang w:val="en-AU"/>
        </w:rPr>
        <w:t>TXA in the direct anterior approach (DAA) to THA. The</w:t>
      </w:r>
      <w:r>
        <w:rPr>
          <w:rFonts w:ascii="Arial" w:hAnsi="Arial" w:cs="Arial"/>
          <w:lang w:val="en-AU"/>
        </w:rPr>
        <w:t xml:space="preserve"> </w:t>
      </w:r>
      <w:r w:rsidRPr="00AC41F0">
        <w:rPr>
          <w:rFonts w:ascii="Arial" w:hAnsi="Arial" w:cs="Arial"/>
          <w:lang w:val="en-AU"/>
        </w:rPr>
        <w:t>aim of our study, therefore, was to investigate the</w:t>
      </w:r>
      <w:r>
        <w:rPr>
          <w:rFonts w:ascii="Arial" w:hAnsi="Arial" w:cs="Arial"/>
          <w:lang w:val="en-AU"/>
        </w:rPr>
        <w:t xml:space="preserve"> </w:t>
      </w:r>
      <w:r w:rsidRPr="00AC41F0">
        <w:rPr>
          <w:rFonts w:ascii="Arial" w:hAnsi="Arial" w:cs="Arial"/>
          <w:lang w:val="en-AU"/>
        </w:rPr>
        <w:t>proportion</w:t>
      </w:r>
      <w:r>
        <w:rPr>
          <w:rFonts w:ascii="Arial" w:hAnsi="Arial" w:cs="Arial"/>
          <w:lang w:val="en-AU"/>
        </w:rPr>
        <w:t xml:space="preserve"> </w:t>
      </w:r>
      <w:r w:rsidRPr="00AC41F0">
        <w:rPr>
          <w:rFonts w:ascii="Arial" w:hAnsi="Arial" w:cs="Arial"/>
          <w:lang w:val="en-AU"/>
        </w:rPr>
        <w:t>of patients who had TXA compared to those who did</w:t>
      </w:r>
      <w:r>
        <w:rPr>
          <w:rFonts w:ascii="Arial" w:hAnsi="Arial" w:cs="Arial"/>
          <w:lang w:val="en-AU"/>
        </w:rPr>
        <w:t xml:space="preserve"> </w:t>
      </w:r>
      <w:r w:rsidRPr="00AC41F0">
        <w:rPr>
          <w:rFonts w:ascii="Arial" w:hAnsi="Arial" w:cs="Arial"/>
          <w:lang w:val="en-AU"/>
        </w:rPr>
        <w:t>not have TXA who</w:t>
      </w:r>
      <w:r>
        <w:rPr>
          <w:rFonts w:ascii="Arial" w:hAnsi="Arial" w:cs="Arial"/>
          <w:lang w:val="en-AU"/>
        </w:rPr>
        <w:t xml:space="preserve"> </w:t>
      </w:r>
      <w:r w:rsidRPr="00AC41F0">
        <w:rPr>
          <w:rFonts w:ascii="Arial" w:hAnsi="Arial" w:cs="Arial"/>
          <w:lang w:val="en-AU"/>
        </w:rPr>
        <w:t>required transfusion after DAA THA.</w:t>
      </w:r>
    </w:p>
    <w:p w14:paraId="1B87ECA5" w14:textId="77777777" w:rsidR="00AC41F0" w:rsidRDefault="00AC41F0" w:rsidP="00AC41F0">
      <w:pPr>
        <w:spacing w:line="480" w:lineRule="auto"/>
        <w:rPr>
          <w:rFonts w:ascii="Arial" w:hAnsi="Arial" w:cs="Arial"/>
          <w:lang w:val="en-AU"/>
        </w:rPr>
      </w:pPr>
    </w:p>
    <w:p w14:paraId="3E710AF6" w14:textId="4CA9E6D2" w:rsidR="00AC41F0" w:rsidRPr="00AC41F0" w:rsidRDefault="00AC41F0" w:rsidP="00AC41F0">
      <w:pPr>
        <w:spacing w:line="480" w:lineRule="auto"/>
        <w:rPr>
          <w:rFonts w:ascii="Arial" w:hAnsi="Arial" w:cs="Arial"/>
          <w:lang w:val="en-AU"/>
        </w:rPr>
      </w:pPr>
      <w:r w:rsidRPr="00AC41F0">
        <w:rPr>
          <w:rFonts w:ascii="Arial" w:hAnsi="Arial" w:cs="Arial"/>
          <w:lang w:val="en-AU"/>
        </w:rPr>
        <w:t>We hypothesised that intravenous TXA reduced transfusion</w:t>
      </w:r>
      <w:r>
        <w:rPr>
          <w:rFonts w:ascii="Arial" w:hAnsi="Arial" w:cs="Arial"/>
          <w:lang w:val="en-AU"/>
        </w:rPr>
        <w:t xml:space="preserve"> </w:t>
      </w:r>
      <w:r w:rsidRPr="00AC41F0">
        <w:rPr>
          <w:rFonts w:ascii="Arial" w:hAnsi="Arial" w:cs="Arial"/>
          <w:lang w:val="en-AU"/>
        </w:rPr>
        <w:t>requirements in patients undergoing DAA THA.</w:t>
      </w:r>
      <w:r>
        <w:rPr>
          <w:rFonts w:ascii="Arial" w:hAnsi="Arial" w:cs="Arial"/>
          <w:lang w:val="en-AU"/>
        </w:rPr>
        <w:t xml:space="preserve"> </w:t>
      </w:r>
      <w:r w:rsidRPr="00AC41F0">
        <w:rPr>
          <w:rFonts w:ascii="Arial" w:hAnsi="Arial" w:cs="Arial"/>
          <w:lang w:val="en-AU"/>
        </w:rPr>
        <w:t>Other measured outcomes included length of hospital stay</w:t>
      </w:r>
    </w:p>
    <w:p w14:paraId="62A54D32" w14:textId="11BE467A" w:rsidR="00AC41F0" w:rsidRPr="00AC41F0" w:rsidRDefault="00AC41F0" w:rsidP="00AC41F0">
      <w:pPr>
        <w:spacing w:line="480" w:lineRule="auto"/>
        <w:rPr>
          <w:rFonts w:ascii="Arial" w:hAnsi="Arial" w:cs="Arial"/>
          <w:lang w:val="en-AU"/>
        </w:rPr>
      </w:pPr>
      <w:r w:rsidRPr="00AC41F0">
        <w:rPr>
          <w:rFonts w:ascii="Arial" w:hAnsi="Arial" w:cs="Arial"/>
          <w:lang w:val="en-AU"/>
        </w:rPr>
        <w:t>and reoperation for wound complications.</w:t>
      </w:r>
    </w:p>
    <w:p w14:paraId="678240C4" w14:textId="77777777" w:rsidR="00AC41F0" w:rsidRDefault="00AC41F0" w:rsidP="00AC41F0">
      <w:pPr>
        <w:spacing w:line="480" w:lineRule="auto"/>
        <w:rPr>
          <w:rFonts w:ascii="TimesNewRomanPSMT" w:hAnsi="TimesNewRomanPSMT" w:cs="TimesNewRomanPSMT"/>
          <w:sz w:val="20"/>
          <w:szCs w:val="20"/>
          <w:lang w:val="en-AU"/>
        </w:rPr>
      </w:pPr>
    </w:p>
    <w:p w14:paraId="6E8B51FF" w14:textId="77777777" w:rsidR="00AB55D6" w:rsidRPr="00B95BB1" w:rsidRDefault="00640C57" w:rsidP="009A7461">
      <w:pPr>
        <w:spacing w:line="480" w:lineRule="auto"/>
        <w:outlineLvl w:val="0"/>
        <w:rPr>
          <w:rFonts w:ascii="Arial" w:hAnsi="Arial" w:cs="Arial"/>
          <w:b/>
          <w:lang w:val="en-AU"/>
        </w:rPr>
      </w:pPr>
      <w:r w:rsidRPr="00B95BB1">
        <w:rPr>
          <w:rFonts w:ascii="Arial" w:hAnsi="Arial" w:cs="Arial"/>
          <w:b/>
          <w:lang w:val="en-AU"/>
        </w:rPr>
        <w:lastRenderedPageBreak/>
        <w:t>PATIENTS AND METHODS</w:t>
      </w:r>
    </w:p>
    <w:p w14:paraId="71D59394" w14:textId="77777777" w:rsidR="00640C57" w:rsidRPr="00B95BB1" w:rsidRDefault="00640C57" w:rsidP="009A7461">
      <w:pPr>
        <w:spacing w:line="480" w:lineRule="auto"/>
        <w:outlineLvl w:val="0"/>
        <w:rPr>
          <w:rFonts w:ascii="Arial" w:hAnsi="Arial" w:cs="Arial"/>
          <w:lang w:val="en-AU"/>
        </w:rPr>
      </w:pPr>
      <w:r w:rsidRPr="00B95BB1">
        <w:rPr>
          <w:rFonts w:ascii="Arial" w:hAnsi="Arial" w:cs="Arial"/>
          <w:b/>
          <w:lang w:val="en-AU"/>
        </w:rPr>
        <w:t>Study Sample</w:t>
      </w:r>
    </w:p>
    <w:p w14:paraId="35590880" w14:textId="3FF99E22" w:rsidR="00D00BC6" w:rsidRPr="00B95BB1" w:rsidRDefault="00640C57" w:rsidP="009A7461">
      <w:pPr>
        <w:spacing w:line="480" w:lineRule="auto"/>
        <w:rPr>
          <w:rFonts w:ascii="Arial" w:hAnsi="Arial" w:cs="Arial"/>
          <w:lang w:val="en-AU"/>
        </w:rPr>
      </w:pPr>
      <w:r w:rsidRPr="00B95BB1">
        <w:rPr>
          <w:rFonts w:ascii="Arial" w:hAnsi="Arial" w:cs="Arial"/>
          <w:lang w:val="en-AU"/>
        </w:rPr>
        <w:t>Following ethics approval</w:t>
      </w:r>
      <w:r w:rsidR="00D4403B">
        <w:rPr>
          <w:rFonts w:ascii="Arial" w:hAnsi="Arial" w:cs="Arial"/>
          <w:lang w:val="en-AU"/>
        </w:rPr>
        <w:t xml:space="preserve"> (University of Tasmania, H0016663)</w:t>
      </w:r>
      <w:r w:rsidR="00DC0845" w:rsidRPr="00B95BB1">
        <w:rPr>
          <w:rFonts w:ascii="Arial" w:hAnsi="Arial" w:cs="Arial"/>
          <w:lang w:val="en-AU"/>
        </w:rPr>
        <w:t xml:space="preserve">, </w:t>
      </w:r>
      <w:r w:rsidRPr="00B95BB1">
        <w:rPr>
          <w:rFonts w:ascii="Arial" w:hAnsi="Arial" w:cs="Arial"/>
          <w:lang w:val="en-AU"/>
        </w:rPr>
        <w:t>w</w:t>
      </w:r>
      <w:r w:rsidR="00AB55D6" w:rsidRPr="00B95BB1">
        <w:rPr>
          <w:rFonts w:ascii="Arial" w:hAnsi="Arial" w:cs="Arial"/>
          <w:lang w:val="en-AU"/>
        </w:rPr>
        <w:t xml:space="preserve">e performed a </w:t>
      </w:r>
      <w:r w:rsidR="00A52B86" w:rsidRPr="00B95BB1">
        <w:rPr>
          <w:rFonts w:ascii="Arial" w:hAnsi="Arial" w:cs="Arial"/>
          <w:lang w:val="en-AU"/>
        </w:rPr>
        <w:t>review of all</w:t>
      </w:r>
      <w:r w:rsidR="00AB55D6" w:rsidRPr="00B95BB1">
        <w:rPr>
          <w:rFonts w:ascii="Arial" w:hAnsi="Arial" w:cs="Arial"/>
          <w:lang w:val="en-AU"/>
        </w:rPr>
        <w:t xml:space="preserve"> consecutive primary THA operations performed </w:t>
      </w:r>
      <w:r w:rsidR="00472900" w:rsidRPr="00B95BB1">
        <w:rPr>
          <w:rFonts w:ascii="Arial" w:hAnsi="Arial" w:cs="Arial"/>
          <w:lang w:val="en-AU"/>
        </w:rPr>
        <w:t xml:space="preserve">at </w:t>
      </w:r>
      <w:r w:rsidR="00A52B86" w:rsidRPr="00B95BB1">
        <w:rPr>
          <w:rFonts w:ascii="Arial" w:hAnsi="Arial" w:cs="Arial"/>
          <w:lang w:val="en-AU"/>
        </w:rPr>
        <w:t>our</w:t>
      </w:r>
      <w:r w:rsidR="00AB55D6" w:rsidRPr="00B95BB1">
        <w:rPr>
          <w:rFonts w:ascii="Arial" w:hAnsi="Arial" w:cs="Arial"/>
          <w:lang w:val="en-AU"/>
        </w:rPr>
        <w:t xml:space="preserve"> institution</w:t>
      </w:r>
      <w:r w:rsidR="00E24F31" w:rsidRPr="00B95BB1">
        <w:rPr>
          <w:rFonts w:ascii="Arial" w:hAnsi="Arial" w:cs="Arial"/>
          <w:lang w:val="en-AU"/>
        </w:rPr>
        <w:t xml:space="preserve"> </w:t>
      </w:r>
      <w:r w:rsidR="00472900" w:rsidRPr="00B95BB1">
        <w:rPr>
          <w:rFonts w:ascii="Arial" w:hAnsi="Arial" w:cs="Arial"/>
          <w:lang w:val="en-AU"/>
        </w:rPr>
        <w:t xml:space="preserve">between </w:t>
      </w:r>
      <w:r w:rsidR="00D00BC6" w:rsidRPr="00B95BB1">
        <w:rPr>
          <w:rFonts w:ascii="Arial" w:hAnsi="Arial" w:cs="Arial"/>
          <w:lang w:val="en-AU"/>
        </w:rPr>
        <w:t xml:space="preserve">January </w:t>
      </w:r>
      <w:r w:rsidR="00472900" w:rsidRPr="00B95BB1">
        <w:rPr>
          <w:rFonts w:ascii="Arial" w:hAnsi="Arial" w:cs="Arial"/>
          <w:lang w:val="en-AU"/>
        </w:rPr>
        <w:t xml:space="preserve">2011 </w:t>
      </w:r>
      <w:r w:rsidR="00E24F31" w:rsidRPr="00B95BB1">
        <w:rPr>
          <w:rFonts w:ascii="Arial" w:hAnsi="Arial" w:cs="Arial"/>
          <w:lang w:val="en-AU"/>
        </w:rPr>
        <w:t>and</w:t>
      </w:r>
      <w:r w:rsidR="00D00BC6" w:rsidRPr="00B95BB1">
        <w:rPr>
          <w:rFonts w:ascii="Arial" w:hAnsi="Arial" w:cs="Arial"/>
          <w:lang w:val="en-AU"/>
        </w:rPr>
        <w:t xml:space="preserve"> April</w:t>
      </w:r>
      <w:r w:rsidR="00472900" w:rsidRPr="00B95BB1">
        <w:rPr>
          <w:rFonts w:ascii="Arial" w:hAnsi="Arial" w:cs="Arial"/>
          <w:lang w:val="en-AU"/>
        </w:rPr>
        <w:t xml:space="preserve"> 2017</w:t>
      </w:r>
      <w:r w:rsidR="00D76139" w:rsidRPr="00B95BB1">
        <w:rPr>
          <w:rFonts w:ascii="Arial" w:hAnsi="Arial" w:cs="Arial"/>
          <w:lang w:val="en-AU"/>
        </w:rPr>
        <w:t>.</w:t>
      </w:r>
      <w:r w:rsidR="00145522" w:rsidRPr="00B95BB1">
        <w:rPr>
          <w:rFonts w:ascii="Arial" w:hAnsi="Arial" w:cs="Arial"/>
          <w:lang w:val="en-AU"/>
        </w:rPr>
        <w:t xml:space="preserve"> </w:t>
      </w:r>
      <w:r w:rsidR="00D76139" w:rsidRPr="00B95BB1">
        <w:rPr>
          <w:rFonts w:ascii="Arial" w:hAnsi="Arial" w:cs="Arial"/>
          <w:lang w:val="en-AU"/>
        </w:rPr>
        <w:t>TXA was</w:t>
      </w:r>
      <w:r w:rsidR="00472900" w:rsidRPr="00B95BB1">
        <w:rPr>
          <w:rFonts w:ascii="Arial" w:hAnsi="Arial" w:cs="Arial"/>
          <w:lang w:val="en-AU"/>
        </w:rPr>
        <w:t xml:space="preserve"> variably used </w:t>
      </w:r>
      <w:r w:rsidR="00D76139" w:rsidRPr="00B95BB1">
        <w:rPr>
          <w:rFonts w:ascii="Arial" w:hAnsi="Arial" w:cs="Arial"/>
          <w:lang w:val="en-AU"/>
        </w:rPr>
        <w:t xml:space="preserve">during this </w:t>
      </w:r>
      <w:r w:rsidR="00472900" w:rsidRPr="00B95BB1">
        <w:rPr>
          <w:rFonts w:ascii="Arial" w:hAnsi="Arial" w:cs="Arial"/>
          <w:lang w:val="en-AU"/>
        </w:rPr>
        <w:t>period</w:t>
      </w:r>
      <w:r w:rsidR="008B6490" w:rsidRPr="00B95BB1">
        <w:rPr>
          <w:rFonts w:ascii="Arial" w:hAnsi="Arial" w:cs="Arial"/>
          <w:lang w:val="en-AU"/>
        </w:rPr>
        <w:t xml:space="preserve"> before it bec</w:t>
      </w:r>
      <w:r w:rsidR="00FA02E1" w:rsidRPr="00B95BB1">
        <w:rPr>
          <w:rFonts w:ascii="Arial" w:hAnsi="Arial" w:cs="Arial"/>
          <w:lang w:val="en-AU"/>
        </w:rPr>
        <w:t>a</w:t>
      </w:r>
      <w:r w:rsidR="008B6490" w:rsidRPr="00B95BB1">
        <w:rPr>
          <w:rFonts w:ascii="Arial" w:hAnsi="Arial" w:cs="Arial"/>
          <w:lang w:val="en-AU"/>
        </w:rPr>
        <w:t xml:space="preserve">me standard practice for all THA </w:t>
      </w:r>
      <w:r w:rsidR="00EA7DA1" w:rsidRPr="00B95BB1">
        <w:rPr>
          <w:rFonts w:ascii="Arial" w:hAnsi="Arial" w:cs="Arial"/>
          <w:lang w:val="en-AU"/>
        </w:rPr>
        <w:t xml:space="preserve">at our institution </w:t>
      </w:r>
      <w:r w:rsidR="008B6490" w:rsidRPr="00B95BB1">
        <w:rPr>
          <w:rFonts w:ascii="Arial" w:hAnsi="Arial" w:cs="Arial"/>
          <w:lang w:val="en-AU"/>
        </w:rPr>
        <w:t>in 2017</w:t>
      </w:r>
      <w:r w:rsidR="00472900" w:rsidRPr="00B95BB1">
        <w:rPr>
          <w:rFonts w:ascii="Arial" w:hAnsi="Arial" w:cs="Arial"/>
          <w:lang w:val="en-AU"/>
        </w:rPr>
        <w:t xml:space="preserve">. </w:t>
      </w:r>
    </w:p>
    <w:p w14:paraId="66C59BBE" w14:textId="77777777" w:rsidR="00D00BC6" w:rsidRPr="00B95BB1" w:rsidRDefault="00D00BC6" w:rsidP="009A7461">
      <w:pPr>
        <w:spacing w:line="480" w:lineRule="auto"/>
        <w:rPr>
          <w:rFonts w:ascii="Arial" w:hAnsi="Arial" w:cs="Arial"/>
          <w:lang w:val="en-AU"/>
        </w:rPr>
      </w:pPr>
    </w:p>
    <w:p w14:paraId="4977CF4A" w14:textId="6BD6E888" w:rsidR="00264A4B" w:rsidRPr="00B95BB1" w:rsidRDefault="00640C57" w:rsidP="009B1584">
      <w:pPr>
        <w:spacing w:line="480" w:lineRule="auto"/>
        <w:rPr>
          <w:rFonts w:ascii="Arial" w:hAnsi="Arial" w:cs="Arial"/>
          <w:lang w:val="en-AU"/>
        </w:rPr>
      </w:pPr>
      <w:r w:rsidRPr="00B95BB1">
        <w:rPr>
          <w:rFonts w:ascii="Arial" w:hAnsi="Arial" w:cs="Arial"/>
          <w:lang w:val="en-AU"/>
        </w:rPr>
        <w:t xml:space="preserve">Eligibility criteria </w:t>
      </w:r>
      <w:r w:rsidR="006E23E7" w:rsidRPr="00B95BB1">
        <w:rPr>
          <w:rFonts w:ascii="Arial" w:hAnsi="Arial" w:cs="Arial"/>
          <w:lang w:val="en-AU"/>
        </w:rPr>
        <w:t xml:space="preserve">for the study </w:t>
      </w:r>
      <w:r w:rsidRPr="00B95BB1">
        <w:rPr>
          <w:rFonts w:ascii="Arial" w:hAnsi="Arial" w:cs="Arial"/>
          <w:lang w:val="en-AU"/>
        </w:rPr>
        <w:t>included patients undergoing primary unilateral THA</w:t>
      </w:r>
      <w:r w:rsidR="00106CDA" w:rsidRPr="00B95BB1">
        <w:rPr>
          <w:rFonts w:ascii="Arial" w:hAnsi="Arial" w:cs="Arial"/>
          <w:lang w:val="en-AU"/>
        </w:rPr>
        <w:t xml:space="preserve"> for osteoarthritis</w:t>
      </w:r>
      <w:r w:rsidRPr="00B95BB1">
        <w:rPr>
          <w:rFonts w:ascii="Arial" w:hAnsi="Arial" w:cs="Arial"/>
          <w:lang w:val="en-AU"/>
        </w:rPr>
        <w:t xml:space="preserve">. </w:t>
      </w:r>
      <w:r w:rsidR="00ED7E94" w:rsidRPr="00B95BB1">
        <w:rPr>
          <w:rFonts w:ascii="Arial" w:hAnsi="Arial" w:cs="Arial"/>
          <w:lang w:val="en-AU"/>
        </w:rPr>
        <w:t>R</w:t>
      </w:r>
      <w:r w:rsidRPr="00B95BB1">
        <w:rPr>
          <w:rFonts w:ascii="Arial" w:hAnsi="Arial" w:cs="Arial"/>
          <w:lang w:val="en-AU"/>
        </w:rPr>
        <w:t xml:space="preserve">evision THA, THA performed for </w:t>
      </w:r>
      <w:r w:rsidR="00E24F31" w:rsidRPr="00B95BB1">
        <w:rPr>
          <w:rFonts w:ascii="Arial" w:hAnsi="Arial" w:cs="Arial"/>
          <w:lang w:val="en-AU"/>
        </w:rPr>
        <w:t>indications</w:t>
      </w:r>
      <w:r w:rsidR="00EA7DA1" w:rsidRPr="00B95BB1">
        <w:rPr>
          <w:rFonts w:ascii="Arial" w:hAnsi="Arial" w:cs="Arial"/>
          <w:lang w:val="en-AU"/>
        </w:rPr>
        <w:t xml:space="preserve"> </w:t>
      </w:r>
      <w:r w:rsidR="00F22C0B" w:rsidRPr="00B95BB1">
        <w:rPr>
          <w:rFonts w:ascii="Arial" w:hAnsi="Arial" w:cs="Arial"/>
          <w:lang w:val="en-AU"/>
        </w:rPr>
        <w:t>other than osteoarthritis</w:t>
      </w:r>
      <w:r w:rsidR="00032833" w:rsidRPr="00B95BB1">
        <w:rPr>
          <w:rFonts w:ascii="Arial" w:hAnsi="Arial" w:cs="Arial"/>
          <w:lang w:val="en-AU"/>
        </w:rPr>
        <w:t>,</w:t>
      </w:r>
      <w:r w:rsidR="00ED7E94" w:rsidRPr="00B95BB1">
        <w:rPr>
          <w:rFonts w:ascii="Arial" w:hAnsi="Arial" w:cs="Arial"/>
          <w:lang w:val="en-AU"/>
        </w:rPr>
        <w:t xml:space="preserve"> and </w:t>
      </w:r>
      <w:r w:rsidRPr="00B95BB1">
        <w:rPr>
          <w:rFonts w:ascii="Arial" w:hAnsi="Arial" w:cs="Arial"/>
          <w:lang w:val="en-AU"/>
        </w:rPr>
        <w:t>simultaneous bilateral THA</w:t>
      </w:r>
      <w:r w:rsidR="00ED7E94" w:rsidRPr="00B95BB1">
        <w:rPr>
          <w:rFonts w:ascii="Arial" w:hAnsi="Arial" w:cs="Arial"/>
          <w:lang w:val="en-AU"/>
        </w:rPr>
        <w:t xml:space="preserve"> were excluded.</w:t>
      </w:r>
      <w:r w:rsidR="00106CDA" w:rsidRPr="00B95BB1">
        <w:rPr>
          <w:rFonts w:ascii="Arial" w:hAnsi="Arial" w:cs="Arial"/>
          <w:lang w:val="en-AU"/>
        </w:rPr>
        <w:t xml:space="preserve"> </w:t>
      </w:r>
      <w:r w:rsidR="00264A4B" w:rsidRPr="00B95BB1">
        <w:rPr>
          <w:rFonts w:ascii="Arial" w:hAnsi="Arial" w:cs="Arial"/>
          <w:lang w:val="en-AU"/>
        </w:rPr>
        <w:t>Cases performed via the</w:t>
      </w:r>
      <w:r w:rsidR="009B1584">
        <w:rPr>
          <w:rFonts w:ascii="Arial" w:hAnsi="Arial" w:cs="Arial"/>
          <w:lang w:val="en-AU"/>
        </w:rPr>
        <w:t xml:space="preserve"> posterior approach were </w:t>
      </w:r>
      <w:proofErr w:type="spellStart"/>
      <w:r w:rsidR="009B1584">
        <w:rPr>
          <w:rFonts w:ascii="Arial" w:hAnsi="Arial" w:cs="Arial"/>
          <w:lang w:val="en-AU"/>
        </w:rPr>
        <w:t>excludedfrom</w:t>
      </w:r>
      <w:proofErr w:type="spellEnd"/>
      <w:r w:rsidR="00264A4B" w:rsidRPr="00B95BB1">
        <w:rPr>
          <w:rFonts w:ascii="Arial" w:hAnsi="Arial" w:cs="Arial"/>
          <w:lang w:val="en-AU"/>
        </w:rPr>
        <w:t xml:space="preserve"> the analysis. </w:t>
      </w:r>
    </w:p>
    <w:p w14:paraId="44375724" w14:textId="77777777" w:rsidR="00AB55D6" w:rsidRPr="00B95BB1" w:rsidRDefault="00AB55D6" w:rsidP="009A7461">
      <w:pPr>
        <w:spacing w:line="480" w:lineRule="auto"/>
        <w:rPr>
          <w:rFonts w:ascii="Arial" w:hAnsi="Arial" w:cs="Arial"/>
          <w:lang w:val="en-AU"/>
        </w:rPr>
      </w:pPr>
    </w:p>
    <w:p w14:paraId="1A16D69F" w14:textId="77777777" w:rsidR="00640C57" w:rsidRPr="00B95BB1" w:rsidRDefault="00640C57" w:rsidP="009A7461">
      <w:pPr>
        <w:spacing w:line="480" w:lineRule="auto"/>
        <w:outlineLvl w:val="0"/>
        <w:rPr>
          <w:rFonts w:ascii="Arial" w:hAnsi="Arial" w:cs="Arial"/>
          <w:b/>
          <w:lang w:val="en-AU"/>
        </w:rPr>
      </w:pPr>
      <w:r w:rsidRPr="00B95BB1">
        <w:rPr>
          <w:rFonts w:ascii="Arial" w:hAnsi="Arial" w:cs="Arial"/>
          <w:b/>
          <w:lang w:val="en-AU"/>
        </w:rPr>
        <w:t>Data Collection</w:t>
      </w:r>
    </w:p>
    <w:p w14:paraId="793463BB" w14:textId="1733D30C" w:rsidR="00472900" w:rsidRPr="00B95BB1" w:rsidRDefault="00472900" w:rsidP="009A7461">
      <w:pPr>
        <w:spacing w:line="480" w:lineRule="auto"/>
        <w:rPr>
          <w:rFonts w:ascii="Arial" w:hAnsi="Arial" w:cs="Arial"/>
          <w:lang w:val="en-AU"/>
        </w:rPr>
      </w:pPr>
      <w:r w:rsidRPr="00B95BB1">
        <w:rPr>
          <w:rFonts w:ascii="Arial" w:hAnsi="Arial" w:cs="Arial"/>
          <w:lang w:val="en-AU"/>
        </w:rPr>
        <w:t xml:space="preserve">Data was extracted from our institution’s electronic medical record by standard form. </w:t>
      </w:r>
      <w:r w:rsidR="00875ECC" w:rsidRPr="00B95BB1">
        <w:rPr>
          <w:rFonts w:ascii="Arial" w:hAnsi="Arial" w:cs="Arial"/>
          <w:lang w:val="en-AU"/>
        </w:rPr>
        <w:t xml:space="preserve">Patient characteristics including age, gender, BMI, comorbidities, smoking status, the use of anticoagulant or anti-platelet medications and pre-operative haemoglobin were collected. </w:t>
      </w:r>
      <w:r w:rsidR="003B54B5" w:rsidRPr="00B95BB1">
        <w:rPr>
          <w:rFonts w:ascii="Arial" w:hAnsi="Arial" w:cs="Arial"/>
          <w:lang w:val="en-AU"/>
        </w:rPr>
        <w:t xml:space="preserve">At the time of operation, </w:t>
      </w:r>
      <w:r w:rsidR="00875ECC" w:rsidRPr="00B95BB1">
        <w:rPr>
          <w:rFonts w:ascii="Arial" w:hAnsi="Arial" w:cs="Arial"/>
          <w:lang w:val="en-AU"/>
        </w:rPr>
        <w:t xml:space="preserve">ASA score, operative side, operative diagnosis, surgical approach, </w:t>
      </w:r>
      <w:r w:rsidR="009B73B4" w:rsidRPr="00B95BB1">
        <w:rPr>
          <w:rFonts w:ascii="Arial" w:hAnsi="Arial" w:cs="Arial"/>
          <w:lang w:val="en-AU"/>
        </w:rPr>
        <w:t xml:space="preserve">and </w:t>
      </w:r>
      <w:r w:rsidR="00F8770E" w:rsidRPr="00B95BB1">
        <w:rPr>
          <w:rFonts w:ascii="Arial" w:hAnsi="Arial" w:cs="Arial"/>
          <w:lang w:val="en-AU"/>
        </w:rPr>
        <w:t>data pertaining to the use of</w:t>
      </w:r>
      <w:r w:rsidR="009B73B4" w:rsidRPr="00B95BB1">
        <w:rPr>
          <w:rFonts w:ascii="Arial" w:hAnsi="Arial" w:cs="Arial"/>
          <w:lang w:val="en-AU"/>
        </w:rPr>
        <w:t xml:space="preserve"> TXA</w:t>
      </w:r>
      <w:r w:rsidR="00F8770E" w:rsidRPr="00B95BB1">
        <w:rPr>
          <w:rFonts w:ascii="Arial" w:hAnsi="Arial" w:cs="Arial"/>
          <w:lang w:val="en-AU"/>
        </w:rPr>
        <w:t xml:space="preserve"> were </w:t>
      </w:r>
      <w:r w:rsidR="003B54B5" w:rsidRPr="00B95BB1">
        <w:rPr>
          <w:rFonts w:ascii="Arial" w:hAnsi="Arial" w:cs="Arial"/>
          <w:lang w:val="en-AU"/>
        </w:rPr>
        <w:t>recorded</w:t>
      </w:r>
      <w:r w:rsidR="00875ECC" w:rsidRPr="00B95BB1">
        <w:rPr>
          <w:rFonts w:ascii="Arial" w:hAnsi="Arial" w:cs="Arial"/>
          <w:lang w:val="en-AU"/>
        </w:rPr>
        <w:t xml:space="preserve">. Post-operative data included TXA administration, day one haemoglobin level, transfusion requirement and length of hospital stay. </w:t>
      </w:r>
      <w:r w:rsidR="003D1316" w:rsidRPr="00B95BB1">
        <w:rPr>
          <w:rFonts w:ascii="Arial" w:hAnsi="Arial" w:cs="Arial"/>
          <w:lang w:val="en-AU"/>
        </w:rPr>
        <w:t>Documentation</w:t>
      </w:r>
      <w:r w:rsidR="00F8770E" w:rsidRPr="00B95BB1">
        <w:rPr>
          <w:rFonts w:ascii="Arial" w:hAnsi="Arial" w:cs="Arial"/>
          <w:lang w:val="en-AU"/>
        </w:rPr>
        <w:t xml:space="preserve"> of r</w:t>
      </w:r>
      <w:r w:rsidR="00875ECC" w:rsidRPr="00B95BB1">
        <w:rPr>
          <w:rFonts w:ascii="Arial" w:hAnsi="Arial" w:cs="Arial"/>
          <w:lang w:val="en-AU"/>
        </w:rPr>
        <w:t xml:space="preserve">eturn to the operating theatre </w:t>
      </w:r>
      <w:r w:rsidR="00F8770E" w:rsidRPr="00B95BB1">
        <w:rPr>
          <w:rFonts w:ascii="Arial" w:hAnsi="Arial" w:cs="Arial"/>
          <w:lang w:val="en-AU"/>
        </w:rPr>
        <w:t xml:space="preserve">for any reason </w:t>
      </w:r>
      <w:r w:rsidR="00875ECC" w:rsidRPr="00B95BB1">
        <w:rPr>
          <w:rFonts w:ascii="Arial" w:hAnsi="Arial" w:cs="Arial"/>
          <w:lang w:val="en-AU"/>
        </w:rPr>
        <w:t xml:space="preserve">within four weeks </w:t>
      </w:r>
      <w:r w:rsidR="00F8770E" w:rsidRPr="00B95BB1">
        <w:rPr>
          <w:rFonts w:ascii="Arial" w:hAnsi="Arial" w:cs="Arial"/>
          <w:lang w:val="en-AU"/>
        </w:rPr>
        <w:t>of the index operation was also recorded.</w:t>
      </w:r>
    </w:p>
    <w:p w14:paraId="1A7ED95D" w14:textId="77777777" w:rsidR="00E900A5" w:rsidRPr="00B95BB1" w:rsidRDefault="00E900A5" w:rsidP="009A7461">
      <w:pPr>
        <w:spacing w:line="480" w:lineRule="auto"/>
        <w:rPr>
          <w:rFonts w:ascii="Arial" w:hAnsi="Arial" w:cs="Arial"/>
          <w:lang w:val="en-AU"/>
        </w:rPr>
      </w:pPr>
    </w:p>
    <w:p w14:paraId="2A9594CC" w14:textId="77777777" w:rsidR="00E900A5" w:rsidRPr="00B95BB1" w:rsidRDefault="00E900A5" w:rsidP="009A7461">
      <w:pPr>
        <w:spacing w:line="480" w:lineRule="auto"/>
        <w:outlineLvl w:val="0"/>
        <w:rPr>
          <w:rFonts w:ascii="Arial" w:hAnsi="Arial" w:cs="Arial"/>
          <w:b/>
          <w:lang w:val="en-AU"/>
        </w:rPr>
      </w:pPr>
      <w:r w:rsidRPr="00B95BB1">
        <w:rPr>
          <w:rFonts w:ascii="Arial" w:hAnsi="Arial" w:cs="Arial"/>
          <w:b/>
          <w:lang w:val="en-AU"/>
        </w:rPr>
        <w:t>Administration of TXA</w:t>
      </w:r>
    </w:p>
    <w:p w14:paraId="7F455019" w14:textId="7A0BA1BF" w:rsidR="00E900A5" w:rsidRPr="00B95BB1" w:rsidRDefault="00E900A5" w:rsidP="009A7461">
      <w:pPr>
        <w:spacing w:line="480" w:lineRule="auto"/>
        <w:rPr>
          <w:rFonts w:ascii="Arial" w:hAnsi="Arial" w:cs="Arial"/>
          <w:lang w:val="en-AU"/>
        </w:rPr>
      </w:pPr>
      <w:r w:rsidRPr="00B95BB1">
        <w:rPr>
          <w:rFonts w:ascii="Arial" w:hAnsi="Arial" w:cs="Arial"/>
          <w:lang w:val="en-AU"/>
        </w:rPr>
        <w:lastRenderedPageBreak/>
        <w:t>As the use of TXA was not standard protocol during the study period, surgeons administered it at their discretion. When administered, 1g of TXA was given intravenously at the start of the operation. Post-operative TXA was prescribed based on surgeon preference, and if used it was given in two further doses of 1g intravenously at bot</w:t>
      </w:r>
      <w:r w:rsidR="00546C00" w:rsidRPr="00B95BB1">
        <w:rPr>
          <w:rFonts w:ascii="Arial" w:hAnsi="Arial" w:cs="Arial"/>
          <w:lang w:val="en-AU"/>
        </w:rPr>
        <w:t>h eight hours and 16 hours post commencement of surgery</w:t>
      </w:r>
      <w:r w:rsidRPr="00B95BB1">
        <w:rPr>
          <w:rFonts w:ascii="Arial" w:hAnsi="Arial" w:cs="Arial"/>
          <w:lang w:val="en-AU"/>
        </w:rPr>
        <w:t>.</w:t>
      </w:r>
    </w:p>
    <w:p w14:paraId="3F838B5F" w14:textId="77777777" w:rsidR="00E900A5" w:rsidRPr="00B95BB1" w:rsidRDefault="00E900A5" w:rsidP="009A7461">
      <w:pPr>
        <w:spacing w:line="480" w:lineRule="auto"/>
        <w:rPr>
          <w:rFonts w:ascii="Arial" w:hAnsi="Arial" w:cs="Arial"/>
          <w:lang w:val="en-AU"/>
        </w:rPr>
      </w:pPr>
    </w:p>
    <w:p w14:paraId="4A3EC5EC" w14:textId="38297990" w:rsidR="00E900A5" w:rsidRPr="00B95BB1" w:rsidRDefault="00E900A5" w:rsidP="009A7461">
      <w:pPr>
        <w:spacing w:line="480" w:lineRule="auto"/>
        <w:outlineLvl w:val="0"/>
        <w:rPr>
          <w:rFonts w:ascii="Arial" w:hAnsi="Arial" w:cs="Arial"/>
          <w:lang w:val="en-AU"/>
        </w:rPr>
      </w:pPr>
      <w:r w:rsidRPr="00B95BB1">
        <w:rPr>
          <w:rFonts w:ascii="Arial" w:hAnsi="Arial" w:cs="Arial"/>
          <w:b/>
          <w:lang w:val="en-AU"/>
        </w:rPr>
        <w:t>Transfusion Protocol</w:t>
      </w:r>
    </w:p>
    <w:p w14:paraId="656F8968" w14:textId="4C9B8EED" w:rsidR="00E900A5" w:rsidRPr="00B95BB1" w:rsidRDefault="00E900A5" w:rsidP="009A7461">
      <w:pPr>
        <w:spacing w:line="480" w:lineRule="auto"/>
        <w:rPr>
          <w:rFonts w:ascii="Arial" w:hAnsi="Arial" w:cs="Arial"/>
          <w:lang w:val="en-AU"/>
        </w:rPr>
      </w:pPr>
      <w:r w:rsidRPr="00B95BB1">
        <w:rPr>
          <w:rFonts w:ascii="Arial" w:hAnsi="Arial" w:cs="Arial"/>
          <w:lang w:val="en-AU"/>
        </w:rPr>
        <w:t>A standard transfusion protocol w</w:t>
      </w:r>
      <w:r w:rsidR="00546C00" w:rsidRPr="00B95BB1">
        <w:rPr>
          <w:rFonts w:ascii="Arial" w:hAnsi="Arial" w:cs="Arial"/>
          <w:lang w:val="en-AU"/>
        </w:rPr>
        <w:t xml:space="preserve">as followed at our institution. This had the </w:t>
      </w:r>
      <w:r w:rsidRPr="00B95BB1">
        <w:rPr>
          <w:rFonts w:ascii="Arial" w:hAnsi="Arial" w:cs="Arial"/>
          <w:lang w:val="en-AU"/>
        </w:rPr>
        <w:t xml:space="preserve">following </w:t>
      </w:r>
      <w:r w:rsidR="00C945E1" w:rsidRPr="00B95BB1">
        <w:rPr>
          <w:rFonts w:ascii="Arial" w:hAnsi="Arial" w:cs="Arial"/>
          <w:lang w:val="en-AU"/>
        </w:rPr>
        <w:t>indications</w:t>
      </w:r>
      <w:r w:rsidRPr="00B95BB1">
        <w:rPr>
          <w:rFonts w:ascii="Arial" w:hAnsi="Arial" w:cs="Arial"/>
          <w:lang w:val="en-AU"/>
        </w:rPr>
        <w:t xml:space="preserve"> for transfusion</w:t>
      </w:r>
      <w:r w:rsidR="00216609" w:rsidRPr="00B95BB1">
        <w:rPr>
          <w:rFonts w:ascii="Arial" w:hAnsi="Arial" w:cs="Arial"/>
          <w:lang w:val="en-AU"/>
        </w:rPr>
        <w:t xml:space="preserve"> of packed red blood cells</w:t>
      </w:r>
      <w:r w:rsidRPr="00B95BB1">
        <w:rPr>
          <w:rFonts w:ascii="Arial" w:hAnsi="Arial" w:cs="Arial"/>
          <w:lang w:val="en-AU"/>
        </w:rPr>
        <w:t>: haemoglobin less than 70</w:t>
      </w:r>
      <w:r w:rsidR="00C945E1" w:rsidRPr="00B95BB1">
        <w:rPr>
          <w:rFonts w:ascii="Arial" w:hAnsi="Arial" w:cs="Arial"/>
          <w:lang w:val="en-AU"/>
        </w:rPr>
        <w:t>g/dL</w:t>
      </w:r>
      <w:r w:rsidR="00DE0B4E" w:rsidRPr="00B95BB1">
        <w:rPr>
          <w:rFonts w:ascii="Arial" w:hAnsi="Arial" w:cs="Arial"/>
          <w:lang w:val="en-AU"/>
        </w:rPr>
        <w:t>;</w:t>
      </w:r>
      <w:r w:rsidRPr="00B95BB1">
        <w:rPr>
          <w:rFonts w:ascii="Arial" w:hAnsi="Arial" w:cs="Arial"/>
          <w:lang w:val="en-AU"/>
        </w:rPr>
        <w:t xml:space="preserve"> haemoglobin 70-100</w:t>
      </w:r>
      <w:r w:rsidR="00C945E1" w:rsidRPr="00B95BB1">
        <w:rPr>
          <w:rFonts w:ascii="Arial" w:hAnsi="Arial" w:cs="Arial"/>
          <w:lang w:val="en-AU"/>
        </w:rPr>
        <w:t>g/dL</w:t>
      </w:r>
      <w:r w:rsidRPr="00B95BB1">
        <w:rPr>
          <w:rFonts w:ascii="Arial" w:hAnsi="Arial" w:cs="Arial"/>
          <w:lang w:val="en-AU"/>
        </w:rPr>
        <w:t xml:space="preserve"> during surgery associated with major blood loss or symptom</w:t>
      </w:r>
      <w:r w:rsidR="00C945E1" w:rsidRPr="00B95BB1">
        <w:rPr>
          <w:rFonts w:ascii="Arial" w:hAnsi="Arial" w:cs="Arial"/>
          <w:lang w:val="en-AU"/>
        </w:rPr>
        <w:t>s of impaired oxygen transport.</w:t>
      </w:r>
    </w:p>
    <w:p w14:paraId="69E2F232" w14:textId="77777777" w:rsidR="00141A0F" w:rsidRPr="00B95BB1" w:rsidRDefault="00141A0F" w:rsidP="009A7461">
      <w:pPr>
        <w:spacing w:line="480" w:lineRule="auto"/>
        <w:rPr>
          <w:rFonts w:ascii="Arial" w:hAnsi="Arial" w:cs="Arial"/>
          <w:lang w:val="en-AU"/>
        </w:rPr>
      </w:pPr>
    </w:p>
    <w:p w14:paraId="42724C58" w14:textId="77777777" w:rsidR="00640C57" w:rsidRPr="00B95BB1" w:rsidRDefault="00640C57" w:rsidP="009A7461">
      <w:pPr>
        <w:spacing w:line="480" w:lineRule="auto"/>
        <w:outlineLvl w:val="0"/>
        <w:rPr>
          <w:rFonts w:ascii="Arial" w:hAnsi="Arial" w:cs="Arial"/>
          <w:b/>
          <w:lang w:val="en-AU"/>
        </w:rPr>
      </w:pPr>
      <w:r w:rsidRPr="00B95BB1">
        <w:rPr>
          <w:rFonts w:ascii="Arial" w:hAnsi="Arial" w:cs="Arial"/>
          <w:b/>
          <w:lang w:val="en-AU"/>
        </w:rPr>
        <w:t>Outcomes</w:t>
      </w:r>
    </w:p>
    <w:p w14:paraId="2FA11DF4" w14:textId="40EAC2B0" w:rsidR="005F00E4" w:rsidRPr="00B95BB1" w:rsidRDefault="005F00E4" w:rsidP="009A7461">
      <w:pPr>
        <w:spacing w:line="480" w:lineRule="auto"/>
        <w:rPr>
          <w:rFonts w:ascii="Arial" w:hAnsi="Arial" w:cs="Arial"/>
          <w:lang w:val="en-AU"/>
        </w:rPr>
      </w:pPr>
      <w:r w:rsidRPr="00B95BB1">
        <w:rPr>
          <w:rFonts w:ascii="Arial" w:hAnsi="Arial" w:cs="Arial"/>
          <w:lang w:val="en-AU"/>
        </w:rPr>
        <w:t xml:space="preserve">The primary outcome was post-operative </w:t>
      </w:r>
      <w:r w:rsidRPr="00B95BB1">
        <w:rPr>
          <w:rFonts w:ascii="Arial" w:hAnsi="Arial" w:cs="Arial"/>
          <w:i/>
          <w:lang w:val="en-AU"/>
        </w:rPr>
        <w:t>blood transfusion rate</w:t>
      </w:r>
      <w:r w:rsidR="00AF4B7A" w:rsidRPr="00B95BB1">
        <w:rPr>
          <w:rFonts w:ascii="Arial" w:hAnsi="Arial" w:cs="Arial"/>
          <w:lang w:val="en-AU"/>
        </w:rPr>
        <w:t>, determined as the percentage of patients within each analysis group who required one or more units of packed red blood cells (PRBC)</w:t>
      </w:r>
      <w:r w:rsidRPr="00B95BB1">
        <w:rPr>
          <w:rFonts w:ascii="Arial" w:hAnsi="Arial" w:cs="Arial"/>
          <w:lang w:val="en-AU"/>
        </w:rPr>
        <w:t>. The number of</w:t>
      </w:r>
      <w:r w:rsidR="00753A0A" w:rsidRPr="00B95BB1">
        <w:rPr>
          <w:rFonts w:ascii="Arial" w:hAnsi="Arial" w:cs="Arial"/>
          <w:lang w:val="en-AU"/>
        </w:rPr>
        <w:t xml:space="preserve"> units of</w:t>
      </w:r>
      <w:r w:rsidR="00AF4B7A" w:rsidRPr="00B95BB1">
        <w:rPr>
          <w:rFonts w:ascii="Arial" w:hAnsi="Arial" w:cs="Arial"/>
          <w:lang w:val="en-AU"/>
        </w:rPr>
        <w:t xml:space="preserve"> </w:t>
      </w:r>
      <w:r w:rsidR="00753A0A" w:rsidRPr="00B95BB1">
        <w:rPr>
          <w:rFonts w:ascii="Arial" w:hAnsi="Arial" w:cs="Arial"/>
          <w:lang w:val="en-AU"/>
        </w:rPr>
        <w:t>PRBC</w:t>
      </w:r>
      <w:r w:rsidR="00AF4B7A" w:rsidRPr="00B95BB1">
        <w:rPr>
          <w:rFonts w:ascii="Arial" w:hAnsi="Arial" w:cs="Arial"/>
          <w:lang w:val="en-AU"/>
        </w:rPr>
        <w:t xml:space="preserve"> administered </w:t>
      </w:r>
      <w:r w:rsidR="00753A0A" w:rsidRPr="00B95BB1">
        <w:rPr>
          <w:rFonts w:ascii="Arial" w:hAnsi="Arial" w:cs="Arial"/>
          <w:lang w:val="en-AU"/>
        </w:rPr>
        <w:t>was</w:t>
      </w:r>
      <w:r w:rsidR="00AB7415" w:rsidRPr="00B95BB1">
        <w:rPr>
          <w:rFonts w:ascii="Arial" w:hAnsi="Arial" w:cs="Arial"/>
          <w:lang w:val="en-AU"/>
        </w:rPr>
        <w:t xml:space="preserve"> also recorded.</w:t>
      </w:r>
      <w:r w:rsidRPr="00B95BB1">
        <w:rPr>
          <w:rFonts w:ascii="Arial" w:hAnsi="Arial" w:cs="Arial"/>
          <w:lang w:val="en-AU"/>
        </w:rPr>
        <w:t xml:space="preserve"> </w:t>
      </w:r>
      <w:r w:rsidR="00032833" w:rsidRPr="00B95BB1">
        <w:rPr>
          <w:rFonts w:ascii="Arial" w:hAnsi="Arial" w:cs="Arial"/>
          <w:lang w:val="en-AU"/>
        </w:rPr>
        <w:t>Other recorded</w:t>
      </w:r>
      <w:r w:rsidRPr="00B95BB1">
        <w:rPr>
          <w:rFonts w:ascii="Arial" w:hAnsi="Arial" w:cs="Arial"/>
          <w:lang w:val="en-AU"/>
        </w:rPr>
        <w:t xml:space="preserve"> outcomes included</w:t>
      </w:r>
      <w:r w:rsidR="00032833" w:rsidRPr="00B95BB1">
        <w:rPr>
          <w:rFonts w:ascii="Arial" w:hAnsi="Arial" w:cs="Arial"/>
          <w:lang w:val="en-AU"/>
        </w:rPr>
        <w:t xml:space="preserve"> </w:t>
      </w:r>
      <w:r w:rsidR="00C24348" w:rsidRPr="00B95BB1">
        <w:rPr>
          <w:rFonts w:ascii="Arial" w:hAnsi="Arial" w:cs="Arial"/>
          <w:lang w:val="en-AU"/>
        </w:rPr>
        <w:t xml:space="preserve">post-operative haemoglobin decrease compared to pre-operative values, </w:t>
      </w:r>
      <w:r w:rsidRPr="00B95BB1">
        <w:rPr>
          <w:rFonts w:ascii="Arial" w:hAnsi="Arial" w:cs="Arial"/>
          <w:lang w:val="en-AU"/>
        </w:rPr>
        <w:t xml:space="preserve">length of hospital stay </w:t>
      </w:r>
      <w:r w:rsidR="00753A0A" w:rsidRPr="00B95BB1">
        <w:rPr>
          <w:rFonts w:ascii="Arial" w:hAnsi="Arial" w:cs="Arial"/>
          <w:lang w:val="en-AU"/>
        </w:rPr>
        <w:t xml:space="preserve">and </w:t>
      </w:r>
      <w:r w:rsidRPr="00B95BB1">
        <w:rPr>
          <w:rFonts w:ascii="Arial" w:hAnsi="Arial" w:cs="Arial"/>
          <w:lang w:val="en-AU"/>
        </w:rPr>
        <w:t>reoperation for wound complications.</w:t>
      </w:r>
      <w:r w:rsidR="00032833" w:rsidRPr="00B95BB1">
        <w:rPr>
          <w:rFonts w:ascii="Arial" w:hAnsi="Arial" w:cs="Arial"/>
          <w:lang w:val="en-AU"/>
        </w:rPr>
        <w:t xml:space="preserve"> </w:t>
      </w:r>
      <w:r w:rsidR="00C24348" w:rsidRPr="00B95BB1">
        <w:rPr>
          <w:rFonts w:ascii="Arial" w:hAnsi="Arial" w:cs="Arial"/>
          <w:i/>
          <w:lang w:val="en-AU"/>
        </w:rPr>
        <w:t>Haemoglobin decrease</w:t>
      </w:r>
      <w:r w:rsidR="00C24348" w:rsidRPr="00B95BB1">
        <w:rPr>
          <w:rFonts w:ascii="Arial" w:hAnsi="Arial" w:cs="Arial"/>
          <w:b/>
          <w:i/>
          <w:lang w:val="en-AU"/>
        </w:rPr>
        <w:t xml:space="preserve"> </w:t>
      </w:r>
      <w:r w:rsidR="00C24348" w:rsidRPr="00B95BB1">
        <w:rPr>
          <w:rFonts w:ascii="Arial" w:hAnsi="Arial" w:cs="Arial"/>
          <w:lang w:val="en-AU"/>
        </w:rPr>
        <w:t xml:space="preserve">was calculated by subtracting </w:t>
      </w:r>
      <w:r w:rsidR="00264A4B" w:rsidRPr="00B95BB1">
        <w:rPr>
          <w:rFonts w:ascii="Arial" w:hAnsi="Arial" w:cs="Arial"/>
          <w:lang w:val="en-AU"/>
        </w:rPr>
        <w:t>post</w:t>
      </w:r>
      <w:r w:rsidR="00546C00" w:rsidRPr="00B95BB1">
        <w:rPr>
          <w:rFonts w:ascii="Arial" w:hAnsi="Arial" w:cs="Arial"/>
          <w:lang w:val="en-AU"/>
        </w:rPr>
        <w:t>-</w:t>
      </w:r>
      <w:r w:rsidR="00264A4B" w:rsidRPr="00B95BB1">
        <w:rPr>
          <w:rFonts w:ascii="Arial" w:hAnsi="Arial" w:cs="Arial"/>
          <w:lang w:val="en-AU"/>
        </w:rPr>
        <w:t>operative</w:t>
      </w:r>
      <w:r w:rsidR="00546C00" w:rsidRPr="00B95BB1">
        <w:rPr>
          <w:rFonts w:ascii="Arial" w:hAnsi="Arial" w:cs="Arial"/>
          <w:lang w:val="en-AU"/>
        </w:rPr>
        <w:t xml:space="preserve"> </w:t>
      </w:r>
      <w:r w:rsidR="00C24348" w:rsidRPr="00B95BB1">
        <w:rPr>
          <w:rFonts w:ascii="Arial" w:hAnsi="Arial" w:cs="Arial"/>
          <w:lang w:val="en-AU"/>
        </w:rPr>
        <w:t xml:space="preserve">day 1 haemoglobin levels from pre-operative values, all of which were measured within three months pre-operatively. </w:t>
      </w:r>
      <w:r w:rsidRPr="00B95BB1">
        <w:rPr>
          <w:rFonts w:ascii="Arial" w:hAnsi="Arial" w:cs="Arial"/>
          <w:i/>
          <w:lang w:val="en-AU"/>
        </w:rPr>
        <w:t>Length of hospital stay</w:t>
      </w:r>
      <w:r w:rsidRPr="00B95BB1">
        <w:rPr>
          <w:rFonts w:ascii="Arial" w:hAnsi="Arial" w:cs="Arial"/>
          <w:lang w:val="en-AU"/>
        </w:rPr>
        <w:t xml:space="preserve"> was measured as the number of days spent in hospital </w:t>
      </w:r>
      <w:r w:rsidR="00753A0A" w:rsidRPr="00B95BB1">
        <w:rPr>
          <w:rFonts w:ascii="Arial" w:hAnsi="Arial" w:cs="Arial"/>
          <w:lang w:val="en-AU"/>
        </w:rPr>
        <w:t xml:space="preserve">from operation (day 0) </w:t>
      </w:r>
      <w:r w:rsidRPr="00B95BB1">
        <w:rPr>
          <w:rFonts w:ascii="Arial" w:hAnsi="Arial" w:cs="Arial"/>
          <w:lang w:val="en-AU"/>
        </w:rPr>
        <w:t xml:space="preserve">until discharge, with each night in hospital after the day of operation being recorded as one day. </w:t>
      </w:r>
      <w:r w:rsidRPr="00B95BB1">
        <w:rPr>
          <w:rFonts w:ascii="Arial" w:hAnsi="Arial" w:cs="Arial"/>
          <w:i/>
          <w:lang w:val="en-AU"/>
        </w:rPr>
        <w:t>Reoperation</w:t>
      </w:r>
      <w:r w:rsidRPr="00B95BB1">
        <w:rPr>
          <w:rFonts w:ascii="Arial" w:hAnsi="Arial" w:cs="Arial"/>
          <w:lang w:val="en-AU"/>
        </w:rPr>
        <w:t xml:space="preserve"> was defined as return to the operating theatre within four weeks post-operatively for wound-related complications.</w:t>
      </w:r>
      <w:r w:rsidR="0004127B" w:rsidRPr="00B95BB1">
        <w:rPr>
          <w:rFonts w:ascii="Arial" w:hAnsi="Arial" w:cs="Arial"/>
          <w:lang w:val="en-AU"/>
        </w:rPr>
        <w:t xml:space="preserve"> Within each of the study groups, outcomes were </w:t>
      </w:r>
      <w:r w:rsidR="0004127B" w:rsidRPr="00B95BB1">
        <w:rPr>
          <w:rFonts w:ascii="Arial" w:hAnsi="Arial" w:cs="Arial"/>
          <w:lang w:val="en-AU"/>
        </w:rPr>
        <w:lastRenderedPageBreak/>
        <w:t>analysed in cases performed without the use of TXA and compared to those performed with TXA</w:t>
      </w:r>
      <w:r w:rsidR="00D31DEC" w:rsidRPr="00B95BB1">
        <w:rPr>
          <w:rFonts w:ascii="Arial" w:hAnsi="Arial" w:cs="Arial"/>
          <w:lang w:val="en-AU"/>
        </w:rPr>
        <w:t>.</w:t>
      </w:r>
    </w:p>
    <w:p w14:paraId="5306DF19" w14:textId="77777777" w:rsidR="00A914E9" w:rsidRPr="00B95BB1" w:rsidRDefault="00A914E9" w:rsidP="009A7461">
      <w:pPr>
        <w:spacing w:line="480" w:lineRule="auto"/>
        <w:rPr>
          <w:rFonts w:ascii="Arial" w:hAnsi="Arial" w:cs="Arial"/>
          <w:lang w:val="en-AU"/>
        </w:rPr>
      </w:pPr>
    </w:p>
    <w:p w14:paraId="49A9AA88" w14:textId="77777777" w:rsidR="00A914E9" w:rsidRPr="00B95BB1" w:rsidRDefault="00A914E9" w:rsidP="009A7461">
      <w:pPr>
        <w:spacing w:line="480" w:lineRule="auto"/>
        <w:outlineLvl w:val="0"/>
        <w:rPr>
          <w:rFonts w:ascii="Arial" w:hAnsi="Arial" w:cs="Arial"/>
          <w:b/>
          <w:lang w:val="en-AU"/>
        </w:rPr>
      </w:pPr>
      <w:r w:rsidRPr="00B95BB1">
        <w:rPr>
          <w:rFonts w:ascii="Arial" w:hAnsi="Arial" w:cs="Arial"/>
          <w:b/>
          <w:lang w:val="en-AU"/>
        </w:rPr>
        <w:t>Statistical Analysis</w:t>
      </w:r>
    </w:p>
    <w:p w14:paraId="0D000531" w14:textId="182FAACA" w:rsidR="00D0341F" w:rsidRPr="00B95BB1" w:rsidRDefault="00D0341F" w:rsidP="004F0AD6">
      <w:pPr>
        <w:spacing w:line="480" w:lineRule="auto"/>
        <w:rPr>
          <w:rFonts w:ascii="Arial" w:hAnsi="Arial" w:cs="Arial"/>
          <w:lang w:val="en-AU"/>
        </w:rPr>
      </w:pPr>
      <w:r w:rsidRPr="00B95BB1">
        <w:rPr>
          <w:rFonts w:ascii="Arial" w:hAnsi="Arial" w:cs="Arial"/>
          <w:lang w:val="en-AU"/>
        </w:rPr>
        <w:t>Stata 15</w:t>
      </w:r>
      <w:r w:rsidR="002C1330">
        <w:rPr>
          <w:rFonts w:ascii="Arial" w:hAnsi="Arial" w:cs="Arial"/>
          <w:lang w:val="en-AU"/>
        </w:rPr>
        <w:t>.1</w:t>
      </w:r>
      <w:r w:rsidRPr="00B95BB1">
        <w:rPr>
          <w:rFonts w:ascii="Arial" w:hAnsi="Arial" w:cs="Arial"/>
          <w:lang w:val="en-AU"/>
        </w:rPr>
        <w:t xml:space="preserve"> </w:t>
      </w:r>
      <w:r w:rsidR="00AF1DF1" w:rsidRPr="00B95BB1">
        <w:rPr>
          <w:rFonts w:ascii="Arial" w:hAnsi="Arial" w:cs="Arial"/>
          <w:lang w:val="en-AU"/>
        </w:rPr>
        <w:t xml:space="preserve">was used </w:t>
      </w:r>
      <w:r w:rsidRPr="00B95BB1">
        <w:rPr>
          <w:rFonts w:ascii="Arial" w:hAnsi="Arial" w:cs="Arial"/>
          <w:lang w:val="en-AU"/>
        </w:rPr>
        <w:t xml:space="preserve">for </w:t>
      </w:r>
      <w:r w:rsidR="002C1330">
        <w:rPr>
          <w:rFonts w:ascii="Arial" w:hAnsi="Arial" w:cs="Arial"/>
          <w:lang w:val="en-AU"/>
        </w:rPr>
        <w:t xml:space="preserve">data </w:t>
      </w:r>
      <w:r w:rsidRPr="00B95BB1">
        <w:rPr>
          <w:rFonts w:ascii="Arial" w:hAnsi="Arial" w:cs="Arial"/>
          <w:lang w:val="en-AU"/>
        </w:rPr>
        <w:t>analysis</w:t>
      </w:r>
      <w:r w:rsidR="002C1330">
        <w:rPr>
          <w:rFonts w:ascii="Arial" w:hAnsi="Arial" w:cs="Arial"/>
          <w:lang w:val="en-AU"/>
        </w:rPr>
        <w:t xml:space="preserve"> (24)</w:t>
      </w:r>
      <w:r w:rsidRPr="00B95BB1">
        <w:rPr>
          <w:rFonts w:ascii="Arial" w:hAnsi="Arial" w:cs="Arial"/>
          <w:lang w:val="en-AU"/>
        </w:rPr>
        <w:t xml:space="preserve">. Means were investigated in </w:t>
      </w:r>
      <w:r w:rsidR="002C1330">
        <w:rPr>
          <w:rFonts w:ascii="Arial" w:hAnsi="Arial" w:cs="Arial"/>
          <w:lang w:val="en-AU"/>
        </w:rPr>
        <w:t xml:space="preserve">the DAA without TXA compared to the DAA with TXA group using independent </w:t>
      </w:r>
      <w:r w:rsidR="002C1330" w:rsidRPr="002C1330">
        <w:rPr>
          <w:rFonts w:ascii="Arial" w:hAnsi="Arial" w:cs="Arial"/>
          <w:i/>
          <w:iCs/>
          <w:lang w:val="en-AU"/>
        </w:rPr>
        <w:t>t</w:t>
      </w:r>
      <w:r w:rsidR="002C1330">
        <w:rPr>
          <w:rFonts w:ascii="Arial" w:hAnsi="Arial" w:cs="Arial"/>
          <w:lang w:val="en-AU"/>
        </w:rPr>
        <w:t>-tests</w:t>
      </w:r>
      <w:r w:rsidRPr="00B95BB1">
        <w:rPr>
          <w:rFonts w:ascii="Arial" w:hAnsi="Arial" w:cs="Arial"/>
          <w:lang w:val="en-AU"/>
        </w:rPr>
        <w:t xml:space="preserve">). Crosstabs were used to investigate proportions for categorical variables and chi-square tests were produced to test for significant differences across the </w:t>
      </w:r>
      <w:r w:rsidR="009B1584">
        <w:rPr>
          <w:rFonts w:ascii="Arial" w:hAnsi="Arial" w:cs="Arial"/>
          <w:lang w:val="en-AU"/>
        </w:rPr>
        <w:t>two</w:t>
      </w:r>
      <w:r w:rsidRPr="00B95BB1">
        <w:rPr>
          <w:rFonts w:ascii="Arial" w:hAnsi="Arial" w:cs="Arial"/>
          <w:lang w:val="en-AU"/>
        </w:rPr>
        <w:t xml:space="preserve"> groups</w:t>
      </w:r>
      <w:r w:rsidR="007B5792" w:rsidRPr="00B95BB1">
        <w:rPr>
          <w:rFonts w:ascii="Arial" w:hAnsi="Arial" w:cs="Arial"/>
          <w:lang w:val="en-AU"/>
        </w:rPr>
        <w:t xml:space="preserve"> (or Fisher’s exact tests where appropriate)</w:t>
      </w:r>
      <w:r w:rsidRPr="00B95BB1">
        <w:rPr>
          <w:rFonts w:ascii="Arial" w:hAnsi="Arial" w:cs="Arial"/>
          <w:lang w:val="en-AU"/>
        </w:rPr>
        <w:t xml:space="preserve">. Post-operative outcomes were investigated </w:t>
      </w:r>
      <w:r w:rsidR="009B1584">
        <w:rPr>
          <w:rFonts w:ascii="Arial" w:hAnsi="Arial" w:cs="Arial"/>
          <w:lang w:val="en-AU"/>
        </w:rPr>
        <w:t xml:space="preserve">among the </w:t>
      </w:r>
      <w:r w:rsidRPr="00B95BB1">
        <w:rPr>
          <w:rFonts w:ascii="Arial" w:hAnsi="Arial" w:cs="Arial"/>
          <w:lang w:val="en-AU"/>
        </w:rPr>
        <w:t xml:space="preserve">TXA vs. </w:t>
      </w:r>
      <w:r w:rsidR="009B1584">
        <w:rPr>
          <w:rFonts w:ascii="Arial" w:hAnsi="Arial" w:cs="Arial"/>
          <w:lang w:val="en-AU"/>
        </w:rPr>
        <w:t xml:space="preserve">no </w:t>
      </w:r>
      <w:r w:rsidRPr="00B95BB1">
        <w:rPr>
          <w:rFonts w:ascii="Arial" w:hAnsi="Arial" w:cs="Arial"/>
          <w:lang w:val="en-AU"/>
        </w:rPr>
        <w:t>TXA</w:t>
      </w:r>
      <w:r w:rsidR="009B1584">
        <w:rPr>
          <w:rFonts w:ascii="Arial" w:hAnsi="Arial" w:cs="Arial"/>
          <w:lang w:val="en-AU"/>
        </w:rPr>
        <w:t xml:space="preserve"> groups. </w:t>
      </w:r>
      <w:r w:rsidRPr="00B95BB1">
        <w:rPr>
          <w:rFonts w:ascii="Arial" w:hAnsi="Arial" w:cs="Arial"/>
          <w:lang w:val="en-AU"/>
        </w:rPr>
        <w:t>Tests were considered significant at</w:t>
      </w:r>
      <w:r w:rsidR="009B1584">
        <w:rPr>
          <w:rFonts w:ascii="Arial" w:hAnsi="Arial" w:cs="Arial"/>
          <w:lang w:val="en-AU"/>
        </w:rPr>
        <w:t xml:space="preserve"> p</w:t>
      </w:r>
      <w:r w:rsidRPr="00B95BB1">
        <w:rPr>
          <w:rFonts w:ascii="Arial" w:hAnsi="Arial" w:cs="Arial"/>
          <w:i/>
          <w:iCs/>
          <w:lang w:val="en-AU"/>
        </w:rPr>
        <w:t xml:space="preserve"> </w:t>
      </w:r>
      <w:r w:rsidRPr="00B95BB1">
        <w:rPr>
          <w:rFonts w:ascii="Arial" w:hAnsi="Arial" w:cs="Arial"/>
          <w:lang w:val="en-AU"/>
        </w:rPr>
        <w:t>&lt; 0.05 level.</w:t>
      </w:r>
      <w:r w:rsidR="004F0AD6">
        <w:rPr>
          <w:rFonts w:ascii="Arial" w:hAnsi="Arial" w:cs="Arial"/>
          <w:lang w:val="en-AU"/>
        </w:rPr>
        <w:t xml:space="preserve"> Relative risks with 95% confidence intervals were calculated for outcomes that were significantly different in those who had TXA compared to the without TXA group.</w:t>
      </w:r>
    </w:p>
    <w:p w14:paraId="54D3DDD9" w14:textId="77777777" w:rsidR="00D31DEC" w:rsidRPr="00B95BB1" w:rsidRDefault="00D31DEC" w:rsidP="009A7461">
      <w:pPr>
        <w:spacing w:line="480" w:lineRule="auto"/>
        <w:rPr>
          <w:rFonts w:ascii="Arial" w:hAnsi="Arial" w:cs="Arial"/>
          <w:lang w:val="en-AU"/>
        </w:rPr>
      </w:pPr>
    </w:p>
    <w:p w14:paraId="5EF2BEBF" w14:textId="77777777" w:rsidR="00D31DEC" w:rsidRPr="00B95BB1" w:rsidRDefault="00D31DEC" w:rsidP="009A7461">
      <w:pPr>
        <w:spacing w:line="480" w:lineRule="auto"/>
        <w:rPr>
          <w:rFonts w:ascii="Arial" w:hAnsi="Arial" w:cs="Arial"/>
          <w:lang w:val="en-AU"/>
        </w:rPr>
      </w:pPr>
    </w:p>
    <w:p w14:paraId="218C9B53" w14:textId="77777777" w:rsidR="00724511" w:rsidRPr="00B95BB1" w:rsidRDefault="0004127B" w:rsidP="009A7461">
      <w:pPr>
        <w:spacing w:line="480" w:lineRule="auto"/>
        <w:outlineLvl w:val="0"/>
        <w:rPr>
          <w:rFonts w:ascii="Arial" w:hAnsi="Arial" w:cs="Arial"/>
          <w:lang w:val="en-AU"/>
        </w:rPr>
      </w:pPr>
      <w:r w:rsidRPr="00B95BB1">
        <w:rPr>
          <w:rFonts w:ascii="Arial" w:hAnsi="Arial" w:cs="Arial"/>
          <w:b/>
          <w:lang w:val="en-AU"/>
        </w:rPr>
        <w:t>RESULTS</w:t>
      </w:r>
    </w:p>
    <w:p w14:paraId="2A2F953F" w14:textId="3A7823A8" w:rsidR="00D0341F" w:rsidRPr="00B95BB1" w:rsidRDefault="00724511" w:rsidP="009B1584">
      <w:pPr>
        <w:spacing w:line="480" w:lineRule="auto"/>
        <w:rPr>
          <w:rFonts w:ascii="Arial" w:hAnsi="Arial" w:cs="Arial"/>
          <w:lang w:val="en-AU"/>
        </w:rPr>
      </w:pPr>
      <w:r w:rsidRPr="00B95BB1">
        <w:rPr>
          <w:rFonts w:ascii="Arial" w:hAnsi="Arial" w:cs="Arial"/>
          <w:lang w:val="en-AU"/>
        </w:rPr>
        <w:t xml:space="preserve">A total </w:t>
      </w:r>
      <w:r w:rsidR="008142AA" w:rsidRPr="00B95BB1">
        <w:rPr>
          <w:rFonts w:ascii="Arial" w:hAnsi="Arial" w:cs="Arial"/>
          <w:lang w:val="en-AU"/>
        </w:rPr>
        <w:t>of 541</w:t>
      </w:r>
      <w:r w:rsidR="00C557F5" w:rsidRPr="00B95BB1">
        <w:rPr>
          <w:rFonts w:ascii="Arial" w:hAnsi="Arial" w:cs="Arial"/>
          <w:lang w:val="en-AU"/>
        </w:rPr>
        <w:t xml:space="preserve"> </w:t>
      </w:r>
      <w:r w:rsidRPr="00B95BB1">
        <w:rPr>
          <w:rFonts w:ascii="Arial" w:hAnsi="Arial" w:cs="Arial"/>
          <w:lang w:val="en-AU"/>
        </w:rPr>
        <w:t>THA operations were performed within the study period. Following</w:t>
      </w:r>
      <w:r w:rsidR="00753A0A" w:rsidRPr="00B95BB1">
        <w:rPr>
          <w:rFonts w:ascii="Arial" w:hAnsi="Arial" w:cs="Arial"/>
          <w:lang w:val="en-AU"/>
        </w:rPr>
        <w:t xml:space="preserve"> application of</w:t>
      </w:r>
      <w:r w:rsidRPr="00B95BB1">
        <w:rPr>
          <w:rFonts w:ascii="Arial" w:hAnsi="Arial" w:cs="Arial"/>
          <w:lang w:val="en-AU"/>
        </w:rPr>
        <w:t xml:space="preserve"> exclusion</w:t>
      </w:r>
      <w:r w:rsidR="00D0341F" w:rsidRPr="00B95BB1">
        <w:rPr>
          <w:rFonts w:ascii="Arial" w:hAnsi="Arial" w:cs="Arial"/>
          <w:lang w:val="en-AU"/>
        </w:rPr>
        <w:t xml:space="preserve"> criteria</w:t>
      </w:r>
      <w:r w:rsidR="009B1584">
        <w:rPr>
          <w:rFonts w:ascii="Arial" w:hAnsi="Arial" w:cs="Arial"/>
          <w:lang w:val="en-AU"/>
        </w:rPr>
        <w:t>, 205 posterior approach operations were excluded. The remaining</w:t>
      </w:r>
      <w:r w:rsidR="00D0341F" w:rsidRPr="00B95BB1">
        <w:rPr>
          <w:rFonts w:ascii="Arial" w:hAnsi="Arial" w:cs="Arial"/>
          <w:lang w:val="en-AU"/>
        </w:rPr>
        <w:t xml:space="preserve"> 146</w:t>
      </w:r>
      <w:r w:rsidR="009B1584">
        <w:rPr>
          <w:rFonts w:ascii="Arial" w:hAnsi="Arial" w:cs="Arial"/>
          <w:lang w:val="en-AU"/>
        </w:rPr>
        <w:t xml:space="preserve"> THA</w:t>
      </w:r>
      <w:r w:rsidR="00D0341F" w:rsidRPr="00B95BB1">
        <w:rPr>
          <w:rFonts w:ascii="Arial" w:hAnsi="Arial" w:cs="Arial"/>
          <w:lang w:val="en-AU"/>
        </w:rPr>
        <w:t xml:space="preserve"> performed via the </w:t>
      </w:r>
      <w:r w:rsidR="009B1584">
        <w:rPr>
          <w:rFonts w:ascii="Arial" w:hAnsi="Arial" w:cs="Arial"/>
          <w:lang w:val="en-AU"/>
        </w:rPr>
        <w:t xml:space="preserve">direct </w:t>
      </w:r>
      <w:r w:rsidR="00D0341F" w:rsidRPr="00B95BB1">
        <w:rPr>
          <w:rFonts w:ascii="Arial" w:hAnsi="Arial" w:cs="Arial"/>
          <w:lang w:val="en-AU"/>
        </w:rPr>
        <w:t>anterior approach</w:t>
      </w:r>
      <w:r w:rsidR="009B1584">
        <w:rPr>
          <w:rFonts w:ascii="Arial" w:hAnsi="Arial" w:cs="Arial"/>
          <w:lang w:val="en-AU"/>
        </w:rPr>
        <w:t xml:space="preserve"> were included in the analysis</w:t>
      </w:r>
      <w:r w:rsidR="00BA7CCD" w:rsidRPr="00B95BB1">
        <w:rPr>
          <w:rFonts w:ascii="Arial" w:hAnsi="Arial" w:cs="Arial"/>
          <w:lang w:val="en-AU"/>
        </w:rPr>
        <w:t>.</w:t>
      </w:r>
      <w:r w:rsidR="00AB7415" w:rsidRPr="00B95BB1">
        <w:rPr>
          <w:rFonts w:ascii="Arial" w:hAnsi="Arial" w:cs="Arial"/>
          <w:lang w:val="en-AU"/>
        </w:rPr>
        <w:t xml:space="preserve"> </w:t>
      </w:r>
      <w:r w:rsidR="009B1584">
        <w:rPr>
          <w:rFonts w:ascii="Arial" w:hAnsi="Arial" w:cs="Arial"/>
          <w:lang w:val="en-AU"/>
        </w:rPr>
        <w:t>These operations were performed by a</w:t>
      </w:r>
      <w:r w:rsidR="00C3544A" w:rsidRPr="00B95BB1">
        <w:rPr>
          <w:rFonts w:ascii="Arial" w:hAnsi="Arial" w:cs="Arial"/>
          <w:lang w:val="en-AU"/>
        </w:rPr>
        <w:t xml:space="preserve"> total of five surgeons.</w:t>
      </w:r>
    </w:p>
    <w:p w14:paraId="7E7D6068" w14:textId="77777777" w:rsidR="00D0341F" w:rsidRPr="00B95BB1" w:rsidRDefault="00D0341F" w:rsidP="009A7461">
      <w:pPr>
        <w:spacing w:line="480" w:lineRule="auto"/>
        <w:rPr>
          <w:rFonts w:ascii="Arial" w:hAnsi="Arial" w:cs="Arial"/>
          <w:lang w:val="en-AU"/>
        </w:rPr>
      </w:pPr>
    </w:p>
    <w:p w14:paraId="2AE883C6" w14:textId="5A22B6BF" w:rsidR="00D0341F" w:rsidRPr="00B95BB1" w:rsidRDefault="00D0341F" w:rsidP="00BE4730">
      <w:pPr>
        <w:spacing w:line="480" w:lineRule="auto"/>
        <w:rPr>
          <w:rFonts w:ascii="Arial" w:hAnsi="Arial" w:cs="Arial"/>
          <w:lang w:val="en-AU"/>
        </w:rPr>
      </w:pPr>
      <w:r w:rsidRPr="00B95BB1">
        <w:rPr>
          <w:rFonts w:ascii="Arial" w:hAnsi="Arial" w:cs="Arial"/>
          <w:lang w:val="en-AU"/>
        </w:rPr>
        <w:t xml:space="preserve">There were no significant differences in mean patient age, BMI, comorbidities or </w:t>
      </w:r>
      <w:r w:rsidR="00AF4B7A" w:rsidRPr="00B95BB1">
        <w:rPr>
          <w:rFonts w:ascii="Arial" w:hAnsi="Arial" w:cs="Arial"/>
          <w:lang w:val="en-AU"/>
        </w:rPr>
        <w:t>use</w:t>
      </w:r>
      <w:r w:rsidRPr="00B95BB1">
        <w:rPr>
          <w:rFonts w:ascii="Arial" w:hAnsi="Arial" w:cs="Arial"/>
          <w:lang w:val="en-AU"/>
        </w:rPr>
        <w:t xml:space="preserve"> of </w:t>
      </w:r>
      <w:r w:rsidR="002102FE" w:rsidRPr="00B95BB1">
        <w:rPr>
          <w:rFonts w:ascii="Arial" w:hAnsi="Arial" w:cs="Arial"/>
          <w:lang w:val="en-AU"/>
        </w:rPr>
        <w:t>anticoagulants/anti</w:t>
      </w:r>
      <w:r w:rsidR="00730A37" w:rsidRPr="00B95BB1">
        <w:rPr>
          <w:rFonts w:ascii="Arial" w:hAnsi="Arial" w:cs="Arial"/>
          <w:lang w:val="en-AU"/>
        </w:rPr>
        <w:t>-</w:t>
      </w:r>
      <w:r w:rsidR="002102FE" w:rsidRPr="00B95BB1">
        <w:rPr>
          <w:rFonts w:ascii="Arial" w:hAnsi="Arial" w:cs="Arial"/>
          <w:lang w:val="en-AU"/>
        </w:rPr>
        <w:t>platelet agents</w:t>
      </w:r>
      <w:r w:rsidRPr="00B95BB1">
        <w:rPr>
          <w:rFonts w:ascii="Arial" w:hAnsi="Arial" w:cs="Arial"/>
          <w:lang w:val="en-AU"/>
        </w:rPr>
        <w:t xml:space="preserve"> between </w:t>
      </w:r>
      <w:r w:rsidR="0057608C">
        <w:rPr>
          <w:rFonts w:ascii="Arial" w:hAnsi="Arial" w:cs="Arial"/>
          <w:lang w:val="en-AU"/>
        </w:rPr>
        <w:t xml:space="preserve">the with TXA and without TXA </w:t>
      </w:r>
      <w:r w:rsidRPr="00B95BB1">
        <w:rPr>
          <w:rFonts w:ascii="Arial" w:hAnsi="Arial" w:cs="Arial"/>
          <w:lang w:val="en-AU"/>
        </w:rPr>
        <w:t>groups (Table 1). There were</w:t>
      </w:r>
      <w:r w:rsidR="00BE4730">
        <w:rPr>
          <w:rFonts w:ascii="Arial" w:hAnsi="Arial" w:cs="Arial"/>
          <w:lang w:val="en-AU"/>
        </w:rPr>
        <w:t xml:space="preserve"> also</w:t>
      </w:r>
      <w:r w:rsidRPr="00B95BB1">
        <w:rPr>
          <w:rFonts w:ascii="Arial" w:hAnsi="Arial" w:cs="Arial"/>
          <w:lang w:val="en-AU"/>
        </w:rPr>
        <w:t xml:space="preserve"> no significant differences in mean pre-op </w:t>
      </w:r>
      <w:r w:rsidR="00546C00" w:rsidRPr="00B95BB1">
        <w:rPr>
          <w:rFonts w:ascii="Arial" w:hAnsi="Arial" w:cs="Arial"/>
          <w:lang w:val="en-AU"/>
        </w:rPr>
        <w:t>haemoglobin</w:t>
      </w:r>
      <w:r w:rsidRPr="00B95BB1">
        <w:rPr>
          <w:rFonts w:ascii="Arial" w:hAnsi="Arial" w:cs="Arial"/>
          <w:lang w:val="en-AU"/>
        </w:rPr>
        <w:t xml:space="preserve"> between the</w:t>
      </w:r>
      <w:r w:rsidR="00BE4730">
        <w:rPr>
          <w:rFonts w:ascii="Arial" w:hAnsi="Arial" w:cs="Arial"/>
          <w:lang w:val="en-AU"/>
        </w:rPr>
        <w:t xml:space="preserve"> groups</w:t>
      </w:r>
      <w:r w:rsidRPr="00B95BB1">
        <w:rPr>
          <w:rFonts w:ascii="Arial" w:hAnsi="Arial" w:cs="Arial"/>
          <w:lang w:val="en-AU"/>
        </w:rPr>
        <w:t xml:space="preserve">. </w:t>
      </w:r>
    </w:p>
    <w:p w14:paraId="4C388990" w14:textId="77777777" w:rsidR="00C557F5" w:rsidRPr="00B95BB1" w:rsidRDefault="00C557F5" w:rsidP="009A7461">
      <w:pPr>
        <w:spacing w:line="480" w:lineRule="auto"/>
        <w:rPr>
          <w:rFonts w:ascii="Arial" w:hAnsi="Arial" w:cs="Arial"/>
          <w:lang w:val="en-AU"/>
        </w:rPr>
      </w:pPr>
    </w:p>
    <w:p w14:paraId="30024822" w14:textId="00C99535" w:rsidR="00D0341F" w:rsidRPr="00B95BB1" w:rsidRDefault="00D0341F" w:rsidP="00BE4730">
      <w:pPr>
        <w:spacing w:line="480" w:lineRule="auto"/>
        <w:rPr>
          <w:rFonts w:ascii="Arial" w:hAnsi="Arial" w:cs="Arial"/>
          <w:lang w:val="en-AU"/>
        </w:rPr>
      </w:pPr>
      <w:r w:rsidRPr="00B95BB1">
        <w:rPr>
          <w:rFonts w:ascii="Arial" w:hAnsi="Arial" w:cs="Arial"/>
          <w:lang w:val="en-AU"/>
        </w:rPr>
        <w:t xml:space="preserve">TXA was first used at </w:t>
      </w:r>
      <w:r w:rsidR="00A21660" w:rsidRPr="00B95BB1">
        <w:rPr>
          <w:rFonts w:ascii="Arial" w:hAnsi="Arial" w:cs="Arial"/>
          <w:lang w:val="en-AU"/>
        </w:rPr>
        <w:t>our</w:t>
      </w:r>
      <w:r w:rsidR="00BA7CCD" w:rsidRPr="00B95BB1">
        <w:rPr>
          <w:rFonts w:ascii="Arial" w:hAnsi="Arial" w:cs="Arial"/>
          <w:lang w:val="en-AU"/>
        </w:rPr>
        <w:t xml:space="preserve"> institution in August 2015. With no administration protocol, t</w:t>
      </w:r>
      <w:r w:rsidRPr="00B95BB1">
        <w:rPr>
          <w:rFonts w:ascii="Arial" w:hAnsi="Arial" w:cs="Arial"/>
          <w:lang w:val="en-AU"/>
        </w:rPr>
        <w:t>here was variability between surgeons first adopting TXA s</w:t>
      </w:r>
      <w:r w:rsidR="00A21660" w:rsidRPr="00B95BB1">
        <w:rPr>
          <w:rFonts w:ascii="Arial" w:hAnsi="Arial" w:cs="Arial"/>
          <w:lang w:val="en-AU"/>
        </w:rPr>
        <w:t>uch</w:t>
      </w:r>
      <w:r w:rsidRPr="00B95BB1">
        <w:rPr>
          <w:rFonts w:ascii="Arial" w:hAnsi="Arial" w:cs="Arial"/>
          <w:lang w:val="en-AU"/>
        </w:rPr>
        <w:t xml:space="preserve"> th</w:t>
      </w:r>
      <w:r w:rsidR="00BA7CCD" w:rsidRPr="00B95BB1">
        <w:rPr>
          <w:rFonts w:ascii="Arial" w:hAnsi="Arial" w:cs="Arial"/>
          <w:lang w:val="en-AU"/>
        </w:rPr>
        <w:t>at th</w:t>
      </w:r>
      <w:r w:rsidRPr="00B95BB1">
        <w:rPr>
          <w:rFonts w:ascii="Arial" w:hAnsi="Arial" w:cs="Arial"/>
          <w:lang w:val="en-AU"/>
        </w:rPr>
        <w:t>e use between this time and the end of the study period was</w:t>
      </w:r>
      <w:r w:rsidR="00BA7CCD" w:rsidRPr="00B95BB1">
        <w:rPr>
          <w:rFonts w:ascii="Arial" w:hAnsi="Arial" w:cs="Arial"/>
          <w:lang w:val="en-AU"/>
        </w:rPr>
        <w:t xml:space="preserve"> intermittent</w:t>
      </w:r>
      <w:r w:rsidRPr="00B95BB1">
        <w:rPr>
          <w:rFonts w:ascii="Arial" w:hAnsi="Arial" w:cs="Arial"/>
          <w:lang w:val="en-AU"/>
        </w:rPr>
        <w:t>.</w:t>
      </w:r>
      <w:r w:rsidR="007B5792" w:rsidRPr="00B95BB1">
        <w:rPr>
          <w:rFonts w:ascii="Arial" w:hAnsi="Arial" w:cs="Arial"/>
          <w:lang w:val="en-AU"/>
        </w:rPr>
        <w:t xml:space="preserve"> </w:t>
      </w:r>
      <w:r w:rsidRPr="00B95BB1">
        <w:rPr>
          <w:rFonts w:ascii="Arial" w:hAnsi="Arial" w:cs="Arial"/>
          <w:lang w:val="en-AU"/>
        </w:rPr>
        <w:t xml:space="preserve">In operations where TXA was given, </w:t>
      </w:r>
      <w:r w:rsidR="00BE4730">
        <w:rPr>
          <w:rFonts w:ascii="Arial" w:hAnsi="Arial" w:cs="Arial"/>
          <w:lang w:val="en-AU"/>
        </w:rPr>
        <w:t xml:space="preserve">56.8% </w:t>
      </w:r>
      <w:r w:rsidRPr="00B95BB1">
        <w:rPr>
          <w:rFonts w:ascii="Arial" w:hAnsi="Arial" w:cs="Arial"/>
          <w:lang w:val="en-AU"/>
        </w:rPr>
        <w:t>also received post-operative TXA.</w:t>
      </w:r>
    </w:p>
    <w:p w14:paraId="62960CA0" w14:textId="77777777" w:rsidR="00D0341F" w:rsidRPr="00B95BB1" w:rsidRDefault="00D0341F" w:rsidP="009A7461">
      <w:pPr>
        <w:spacing w:line="480" w:lineRule="auto"/>
        <w:rPr>
          <w:rFonts w:ascii="Arial" w:hAnsi="Arial" w:cs="Arial"/>
          <w:lang w:val="en-AU"/>
        </w:rPr>
      </w:pPr>
    </w:p>
    <w:p w14:paraId="549EFC1E" w14:textId="4DC67F6F" w:rsidR="0063393E" w:rsidRPr="00B95BB1" w:rsidRDefault="00BE4730" w:rsidP="000E042B">
      <w:pPr>
        <w:spacing w:line="480" w:lineRule="auto"/>
        <w:rPr>
          <w:rFonts w:ascii="Arial" w:hAnsi="Arial" w:cs="Arial"/>
          <w:lang w:val="en-AU"/>
        </w:rPr>
      </w:pPr>
      <w:r>
        <w:rPr>
          <w:rFonts w:ascii="Arial" w:hAnsi="Arial" w:cs="Arial"/>
          <w:lang w:val="en-AU"/>
        </w:rPr>
        <w:t>In the</w:t>
      </w:r>
      <w:r w:rsidR="0063393E" w:rsidRPr="00B95BB1">
        <w:rPr>
          <w:rFonts w:ascii="Arial" w:hAnsi="Arial" w:cs="Arial"/>
          <w:lang w:val="en-AU"/>
        </w:rPr>
        <w:t xml:space="preserve"> group</w:t>
      </w:r>
      <w:r w:rsidR="00730A37" w:rsidRPr="00B95BB1">
        <w:rPr>
          <w:rFonts w:ascii="Arial" w:hAnsi="Arial" w:cs="Arial"/>
          <w:lang w:val="en-AU"/>
        </w:rPr>
        <w:t xml:space="preserve"> without TXA</w:t>
      </w:r>
      <w:r w:rsidR="0063393E" w:rsidRPr="00B95BB1">
        <w:rPr>
          <w:rFonts w:ascii="Arial" w:hAnsi="Arial" w:cs="Arial"/>
          <w:lang w:val="en-AU"/>
        </w:rPr>
        <w:t>, 7 of 63 patients (11.1%) required post-operative blood transfusion, compared to one of 83 (1.2%) when TXA was used</w:t>
      </w:r>
      <w:r w:rsidR="00730A37" w:rsidRPr="00B95BB1">
        <w:rPr>
          <w:rFonts w:ascii="Arial" w:hAnsi="Arial" w:cs="Arial"/>
          <w:lang w:val="en-AU"/>
        </w:rPr>
        <w:t xml:space="preserve"> (</w:t>
      </w:r>
      <w:r w:rsidR="00730A37" w:rsidRPr="00B95BB1">
        <w:rPr>
          <w:rFonts w:ascii="Arial" w:hAnsi="Arial" w:cs="Arial"/>
          <w:i/>
          <w:iCs/>
          <w:lang w:val="en-AU"/>
        </w:rPr>
        <w:t>p</w:t>
      </w:r>
      <w:r w:rsidR="00730A37" w:rsidRPr="00B95BB1">
        <w:rPr>
          <w:rFonts w:ascii="Arial" w:hAnsi="Arial" w:cs="Arial"/>
          <w:lang w:val="en-AU"/>
        </w:rPr>
        <w:t>= 0.02)</w:t>
      </w:r>
      <w:r w:rsidR="000E042B">
        <w:rPr>
          <w:rFonts w:ascii="Arial" w:hAnsi="Arial" w:cs="Arial"/>
          <w:lang w:val="en-AU"/>
        </w:rPr>
        <w:t xml:space="preserve"> </w:t>
      </w:r>
      <w:r w:rsidR="00730A37" w:rsidRPr="00B95BB1">
        <w:rPr>
          <w:rFonts w:ascii="Arial" w:hAnsi="Arial" w:cs="Arial"/>
          <w:lang w:val="en-AU"/>
        </w:rPr>
        <w:t>(Table 2).</w:t>
      </w:r>
      <w:r w:rsidR="004F0AD6">
        <w:rPr>
          <w:rFonts w:ascii="Arial" w:hAnsi="Arial" w:cs="Arial"/>
          <w:lang w:val="en-AU"/>
        </w:rPr>
        <w:t xml:space="preserve"> The relative risk of requiring blood transfusion in those who had TXA was 0.11 (95% CI 0.01, 0.86).</w:t>
      </w:r>
    </w:p>
    <w:p w14:paraId="1324C9A5" w14:textId="77777777" w:rsidR="00861E76" w:rsidRPr="00B95BB1" w:rsidRDefault="00861E76" w:rsidP="009A7461">
      <w:pPr>
        <w:spacing w:line="480" w:lineRule="auto"/>
        <w:rPr>
          <w:rFonts w:ascii="Arial" w:hAnsi="Arial" w:cs="Arial"/>
          <w:lang w:val="en-AU"/>
        </w:rPr>
      </w:pPr>
    </w:p>
    <w:p w14:paraId="05586A8E" w14:textId="23367A19" w:rsidR="00CD7DE8" w:rsidRPr="00B95BB1" w:rsidRDefault="000E042B" w:rsidP="000E042B">
      <w:pPr>
        <w:spacing w:line="480" w:lineRule="auto"/>
        <w:rPr>
          <w:rFonts w:ascii="Arial" w:hAnsi="Arial" w:cs="Arial"/>
          <w:lang w:val="en-AU"/>
        </w:rPr>
      </w:pPr>
      <w:r>
        <w:rPr>
          <w:rFonts w:ascii="Arial" w:hAnsi="Arial" w:cs="Arial"/>
          <w:lang w:val="en-AU"/>
        </w:rPr>
        <w:t>T</w:t>
      </w:r>
      <w:r w:rsidR="00D0341F" w:rsidRPr="00B95BB1">
        <w:rPr>
          <w:rFonts w:ascii="Arial" w:hAnsi="Arial" w:cs="Arial"/>
          <w:lang w:val="en-AU"/>
        </w:rPr>
        <w:t>here was a significantly greater reduction in mean haemoglobin level (pre-operative to one day post-operative) in those patients who did not have</w:t>
      </w:r>
      <w:r>
        <w:rPr>
          <w:rFonts w:ascii="Arial" w:hAnsi="Arial" w:cs="Arial"/>
          <w:lang w:val="en-AU"/>
        </w:rPr>
        <w:t xml:space="preserve"> </w:t>
      </w:r>
      <w:r w:rsidR="00D0341F" w:rsidRPr="00B95BB1">
        <w:rPr>
          <w:rFonts w:ascii="Arial" w:hAnsi="Arial" w:cs="Arial"/>
          <w:lang w:val="en-AU"/>
        </w:rPr>
        <w:t>TXA</w:t>
      </w:r>
      <w:r>
        <w:rPr>
          <w:rFonts w:ascii="Arial" w:hAnsi="Arial" w:cs="Arial"/>
          <w:lang w:val="en-AU"/>
        </w:rPr>
        <w:t xml:space="preserve"> (mean 37.</w:t>
      </w:r>
      <w:r w:rsidR="005A386E">
        <w:rPr>
          <w:rFonts w:ascii="Arial" w:hAnsi="Arial" w:cs="Arial"/>
          <w:lang w:val="en-AU"/>
        </w:rPr>
        <w:t>9</w:t>
      </w:r>
      <w:r>
        <w:rPr>
          <w:rFonts w:ascii="Arial" w:hAnsi="Arial" w:cs="Arial"/>
          <w:lang w:val="en-AU"/>
        </w:rPr>
        <w:t xml:space="preserve">, SD 11.8) compared to those who did have TXA (mean 32.6, SD 11.4) </w:t>
      </w:r>
      <w:r w:rsidRPr="00B95BB1">
        <w:rPr>
          <w:rFonts w:ascii="Arial" w:hAnsi="Arial" w:cs="Arial"/>
          <w:lang w:val="en-AU"/>
        </w:rPr>
        <w:t>(</w:t>
      </w:r>
      <w:r w:rsidRPr="00B95BB1">
        <w:rPr>
          <w:rFonts w:ascii="Arial" w:hAnsi="Arial" w:cs="Arial"/>
          <w:i/>
          <w:iCs/>
          <w:lang w:val="en-AU"/>
        </w:rPr>
        <w:t>t</w:t>
      </w:r>
      <w:r w:rsidRPr="00B95BB1">
        <w:rPr>
          <w:rFonts w:ascii="Arial" w:hAnsi="Arial" w:cs="Arial"/>
          <w:vertAlign w:val="subscript"/>
          <w:lang w:val="en-AU"/>
        </w:rPr>
        <w:t>(144)</w:t>
      </w:r>
      <w:r w:rsidRPr="00B95BB1">
        <w:rPr>
          <w:rFonts w:ascii="Arial" w:hAnsi="Arial" w:cs="Arial"/>
          <w:lang w:val="en-AU"/>
        </w:rPr>
        <w:t xml:space="preserve">=2.74, </w:t>
      </w:r>
      <w:r w:rsidRPr="00B95BB1">
        <w:rPr>
          <w:rFonts w:ascii="Arial" w:hAnsi="Arial" w:cs="Arial"/>
          <w:i/>
          <w:iCs/>
          <w:lang w:val="en-AU"/>
        </w:rPr>
        <w:t>p</w:t>
      </w:r>
      <w:r w:rsidRPr="00B95BB1">
        <w:rPr>
          <w:rFonts w:ascii="Arial" w:hAnsi="Arial" w:cs="Arial"/>
          <w:lang w:val="en-AU"/>
        </w:rPr>
        <w:t>=0.007)</w:t>
      </w:r>
      <w:r w:rsidR="00D0341F" w:rsidRPr="00B95BB1">
        <w:rPr>
          <w:rFonts w:ascii="Arial" w:hAnsi="Arial" w:cs="Arial"/>
          <w:lang w:val="en-AU"/>
        </w:rPr>
        <w:t>.</w:t>
      </w:r>
      <w:r>
        <w:rPr>
          <w:rFonts w:ascii="Arial" w:hAnsi="Arial" w:cs="Arial"/>
          <w:lang w:val="en-AU"/>
        </w:rPr>
        <w:t xml:space="preserve">There was no significant difference in </w:t>
      </w:r>
      <w:r w:rsidR="00CD7DE8" w:rsidRPr="00B95BB1">
        <w:rPr>
          <w:rFonts w:ascii="Arial" w:hAnsi="Arial" w:cs="Arial"/>
          <w:lang w:val="en-AU"/>
        </w:rPr>
        <w:t>hospital LOS when TXA was used</w:t>
      </w:r>
      <w:r>
        <w:rPr>
          <w:rFonts w:ascii="Arial" w:hAnsi="Arial" w:cs="Arial"/>
          <w:lang w:val="en-AU"/>
        </w:rPr>
        <w:t xml:space="preserve"> compared to not used</w:t>
      </w:r>
      <w:r w:rsidR="00CD7DE8" w:rsidRPr="00B95BB1">
        <w:rPr>
          <w:rFonts w:ascii="Arial" w:hAnsi="Arial" w:cs="Arial"/>
          <w:lang w:val="en-AU"/>
        </w:rPr>
        <w:t xml:space="preserve"> (</w:t>
      </w:r>
      <w:r>
        <w:rPr>
          <w:rFonts w:ascii="Arial" w:hAnsi="Arial" w:cs="Arial"/>
          <w:lang w:val="en-AU"/>
        </w:rPr>
        <w:t>3.9</w:t>
      </w:r>
      <w:r w:rsidR="00CD7DE8" w:rsidRPr="00B95BB1">
        <w:rPr>
          <w:rFonts w:ascii="Arial" w:hAnsi="Arial" w:cs="Arial"/>
          <w:lang w:val="en-AU"/>
        </w:rPr>
        <w:t xml:space="preserve"> vs </w:t>
      </w:r>
      <w:r>
        <w:rPr>
          <w:rFonts w:ascii="Arial" w:hAnsi="Arial" w:cs="Arial"/>
          <w:lang w:val="en-AU"/>
        </w:rPr>
        <w:t>4.2</w:t>
      </w:r>
      <w:r w:rsidR="00CD7DE8" w:rsidRPr="00B95BB1">
        <w:rPr>
          <w:rFonts w:ascii="Arial" w:hAnsi="Arial" w:cs="Arial"/>
          <w:lang w:val="en-AU"/>
        </w:rPr>
        <w:t xml:space="preserve"> days, </w:t>
      </w:r>
      <w:r w:rsidRPr="00B95BB1">
        <w:rPr>
          <w:rFonts w:ascii="Arial" w:hAnsi="Arial" w:cs="Arial"/>
          <w:i/>
          <w:iCs/>
          <w:lang w:val="en-AU"/>
        </w:rPr>
        <w:t>t</w:t>
      </w:r>
      <w:r w:rsidRPr="00B95BB1">
        <w:rPr>
          <w:rFonts w:ascii="Arial" w:hAnsi="Arial" w:cs="Arial"/>
          <w:vertAlign w:val="subscript"/>
          <w:lang w:val="en-AU"/>
        </w:rPr>
        <w:t>(144)</w:t>
      </w:r>
      <w:r w:rsidRPr="00B95BB1">
        <w:rPr>
          <w:rFonts w:ascii="Arial" w:hAnsi="Arial" w:cs="Arial"/>
          <w:lang w:val="en-AU"/>
        </w:rPr>
        <w:t>=</w:t>
      </w:r>
      <w:r>
        <w:rPr>
          <w:rFonts w:ascii="Arial" w:hAnsi="Arial" w:cs="Arial"/>
          <w:lang w:val="en-AU"/>
        </w:rPr>
        <w:t xml:space="preserve">1.03, </w:t>
      </w:r>
      <w:r w:rsidR="00CD7DE8" w:rsidRPr="00B95BB1">
        <w:rPr>
          <w:rFonts w:ascii="Arial" w:hAnsi="Arial" w:cs="Arial"/>
          <w:i/>
          <w:iCs/>
          <w:lang w:val="en-AU"/>
        </w:rPr>
        <w:t>p</w:t>
      </w:r>
      <w:r w:rsidR="00CD7DE8" w:rsidRPr="00B95BB1">
        <w:rPr>
          <w:rFonts w:ascii="Arial" w:hAnsi="Arial" w:cs="Arial"/>
          <w:lang w:val="en-AU"/>
        </w:rPr>
        <w:t xml:space="preserve">=0.31). </w:t>
      </w:r>
    </w:p>
    <w:p w14:paraId="2BFC7220" w14:textId="77777777" w:rsidR="00D0341F" w:rsidRPr="00B95BB1" w:rsidRDefault="00D0341F" w:rsidP="009A7461">
      <w:pPr>
        <w:spacing w:line="480" w:lineRule="auto"/>
        <w:rPr>
          <w:rFonts w:ascii="Arial" w:hAnsi="Arial" w:cs="Arial"/>
          <w:lang w:val="en-AU"/>
        </w:rPr>
      </w:pPr>
    </w:p>
    <w:p w14:paraId="0EB2F35F" w14:textId="52EE29A1" w:rsidR="00D0341F" w:rsidRPr="00B95BB1" w:rsidRDefault="00D0341F" w:rsidP="003D4923">
      <w:pPr>
        <w:spacing w:line="480" w:lineRule="auto"/>
        <w:rPr>
          <w:rFonts w:ascii="Arial" w:hAnsi="Arial" w:cs="Arial"/>
          <w:lang w:val="en-AU"/>
        </w:rPr>
      </w:pPr>
      <w:r w:rsidRPr="00B95BB1">
        <w:rPr>
          <w:rFonts w:ascii="Arial" w:hAnsi="Arial" w:cs="Arial"/>
          <w:lang w:val="en-AU"/>
        </w:rPr>
        <w:t xml:space="preserve">Investigation of differences in the mean number of </w:t>
      </w:r>
      <w:r w:rsidR="00546C00" w:rsidRPr="00B95BB1">
        <w:rPr>
          <w:rFonts w:ascii="Arial" w:hAnsi="Arial" w:cs="Arial"/>
          <w:lang w:val="en-AU"/>
        </w:rPr>
        <w:t>packed red blood cell (</w:t>
      </w:r>
      <w:r w:rsidRPr="00B95BB1">
        <w:rPr>
          <w:rFonts w:ascii="Arial" w:hAnsi="Arial" w:cs="Arial"/>
          <w:lang w:val="en-AU"/>
        </w:rPr>
        <w:t>PRBC</w:t>
      </w:r>
      <w:r w:rsidR="00546C00" w:rsidRPr="00B95BB1">
        <w:rPr>
          <w:rFonts w:ascii="Arial" w:hAnsi="Arial" w:cs="Arial"/>
          <w:lang w:val="en-AU"/>
        </w:rPr>
        <w:t>)</w:t>
      </w:r>
      <w:r w:rsidRPr="00B95BB1">
        <w:rPr>
          <w:rFonts w:ascii="Arial" w:hAnsi="Arial" w:cs="Arial"/>
          <w:lang w:val="en-AU"/>
        </w:rPr>
        <w:t xml:space="preserve"> units and mean day 1 </w:t>
      </w:r>
      <w:r w:rsidR="00342053" w:rsidRPr="00B95BB1">
        <w:rPr>
          <w:rFonts w:ascii="Arial" w:hAnsi="Arial" w:cs="Arial"/>
          <w:lang w:val="en-AU"/>
        </w:rPr>
        <w:t>haemoglobin</w:t>
      </w:r>
      <w:r w:rsidRPr="00B95BB1">
        <w:rPr>
          <w:rFonts w:ascii="Arial" w:hAnsi="Arial" w:cs="Arial"/>
          <w:lang w:val="en-AU"/>
        </w:rPr>
        <w:t xml:space="preserve"> within each group was not possible </w:t>
      </w:r>
      <w:r w:rsidR="004E39F4" w:rsidRPr="00B95BB1">
        <w:rPr>
          <w:rFonts w:ascii="Arial" w:hAnsi="Arial" w:cs="Arial"/>
          <w:lang w:val="en-AU"/>
        </w:rPr>
        <w:t>as only</w:t>
      </w:r>
      <w:r w:rsidRPr="00B95BB1">
        <w:rPr>
          <w:rFonts w:ascii="Arial" w:hAnsi="Arial" w:cs="Arial"/>
          <w:lang w:val="en-AU"/>
        </w:rPr>
        <w:t xml:space="preserve"> one patient in the TXA group requir</w:t>
      </w:r>
      <w:r w:rsidR="004E39F4" w:rsidRPr="00B95BB1">
        <w:rPr>
          <w:rFonts w:ascii="Arial" w:hAnsi="Arial" w:cs="Arial"/>
          <w:lang w:val="en-AU"/>
        </w:rPr>
        <w:t xml:space="preserve">ed </w:t>
      </w:r>
      <w:r w:rsidRPr="00B95BB1">
        <w:rPr>
          <w:rFonts w:ascii="Arial" w:hAnsi="Arial" w:cs="Arial"/>
          <w:lang w:val="en-AU"/>
        </w:rPr>
        <w:t xml:space="preserve">a transfusion. </w:t>
      </w:r>
    </w:p>
    <w:p w14:paraId="022F2A67" w14:textId="77777777" w:rsidR="005E6B21" w:rsidRPr="00B95BB1" w:rsidRDefault="005E6B21" w:rsidP="009A7461">
      <w:pPr>
        <w:spacing w:line="480" w:lineRule="auto"/>
        <w:rPr>
          <w:rFonts w:ascii="Arial" w:hAnsi="Arial" w:cs="Arial"/>
          <w:lang w:val="en-AU"/>
        </w:rPr>
      </w:pPr>
    </w:p>
    <w:p w14:paraId="020D04E5" w14:textId="0E094983" w:rsidR="00407F7F" w:rsidRDefault="0004127B" w:rsidP="009A7461">
      <w:pPr>
        <w:spacing w:line="480" w:lineRule="auto"/>
        <w:outlineLvl w:val="0"/>
        <w:rPr>
          <w:rFonts w:ascii="Arial" w:hAnsi="Arial" w:cs="Arial"/>
          <w:b/>
          <w:lang w:val="en-AU"/>
        </w:rPr>
      </w:pPr>
      <w:r w:rsidRPr="00B95BB1">
        <w:rPr>
          <w:rFonts w:ascii="Arial" w:hAnsi="Arial" w:cs="Arial"/>
          <w:b/>
          <w:lang w:val="en-AU"/>
        </w:rPr>
        <w:t>DISCUSSION</w:t>
      </w:r>
    </w:p>
    <w:p w14:paraId="1AC67949" w14:textId="351F4F7E" w:rsidR="00D4403B" w:rsidRPr="00D4403B" w:rsidRDefault="00D4403B" w:rsidP="002D3EAB">
      <w:pPr>
        <w:spacing w:line="480" w:lineRule="auto"/>
        <w:rPr>
          <w:rFonts w:ascii="Arial" w:hAnsi="Arial" w:cs="Arial"/>
          <w:lang w:val="en-AU"/>
        </w:rPr>
      </w:pPr>
      <w:r w:rsidRPr="00D4403B">
        <w:rPr>
          <w:rFonts w:ascii="Arial" w:hAnsi="Arial" w:cs="Arial"/>
          <w:lang w:val="en-AU"/>
        </w:rPr>
        <w:t>There is increasing evidence to suggest that TXA is effective</w:t>
      </w:r>
      <w:r w:rsidR="002D3EAB">
        <w:rPr>
          <w:rFonts w:ascii="Arial" w:hAnsi="Arial" w:cs="Arial"/>
          <w:lang w:val="en-AU"/>
        </w:rPr>
        <w:t xml:space="preserve"> </w:t>
      </w:r>
      <w:r w:rsidRPr="00D4403B">
        <w:rPr>
          <w:rFonts w:ascii="Arial" w:hAnsi="Arial" w:cs="Arial"/>
          <w:lang w:val="en-AU"/>
        </w:rPr>
        <w:t>in reducing blood</w:t>
      </w:r>
      <w:r w:rsidR="002D3EAB">
        <w:rPr>
          <w:rFonts w:ascii="Arial" w:hAnsi="Arial" w:cs="Arial"/>
          <w:lang w:val="en-AU"/>
        </w:rPr>
        <w:t xml:space="preserve"> </w:t>
      </w:r>
      <w:r w:rsidRPr="00D4403B">
        <w:rPr>
          <w:rFonts w:ascii="Arial" w:hAnsi="Arial" w:cs="Arial"/>
          <w:lang w:val="en-AU"/>
        </w:rPr>
        <w:t>transfusion rates in THA</w:t>
      </w:r>
      <w:r w:rsidR="002D3EAB">
        <w:rPr>
          <w:rFonts w:ascii="Arial" w:hAnsi="Arial" w:cs="Arial"/>
          <w:lang w:val="en-AU"/>
        </w:rPr>
        <w:t xml:space="preserve"> (</w:t>
      </w:r>
      <w:r w:rsidRPr="00D4403B">
        <w:rPr>
          <w:rFonts w:ascii="Arial" w:hAnsi="Arial" w:cs="Arial"/>
          <w:lang w:val="en-AU"/>
        </w:rPr>
        <w:t>1–7</w:t>
      </w:r>
      <w:r w:rsidR="002D3EAB">
        <w:rPr>
          <w:rFonts w:ascii="Arial" w:hAnsi="Arial" w:cs="Arial"/>
          <w:lang w:val="en-AU"/>
        </w:rPr>
        <w:t xml:space="preserve">). </w:t>
      </w:r>
      <w:r w:rsidRPr="00D4403B">
        <w:rPr>
          <w:rFonts w:ascii="Arial" w:hAnsi="Arial" w:cs="Arial"/>
          <w:lang w:val="en-AU"/>
        </w:rPr>
        <w:t>Transfusion following THA is costly and may be a harbinger</w:t>
      </w:r>
      <w:r w:rsidR="002D3EAB">
        <w:rPr>
          <w:rFonts w:ascii="Arial" w:hAnsi="Arial" w:cs="Arial"/>
          <w:lang w:val="en-AU"/>
        </w:rPr>
        <w:t xml:space="preserve"> </w:t>
      </w:r>
      <w:r w:rsidRPr="00D4403B">
        <w:rPr>
          <w:rFonts w:ascii="Arial" w:hAnsi="Arial" w:cs="Arial"/>
          <w:lang w:val="en-AU"/>
        </w:rPr>
        <w:t>of increased morbidity and increased length of hospital</w:t>
      </w:r>
      <w:r w:rsidR="002D3EAB">
        <w:rPr>
          <w:rFonts w:ascii="Arial" w:hAnsi="Arial" w:cs="Arial"/>
          <w:lang w:val="en-AU"/>
        </w:rPr>
        <w:t xml:space="preserve"> </w:t>
      </w:r>
      <w:r w:rsidRPr="00D4403B">
        <w:rPr>
          <w:rFonts w:ascii="Arial" w:hAnsi="Arial" w:cs="Arial"/>
          <w:lang w:val="en-AU"/>
        </w:rPr>
        <w:t>stay</w:t>
      </w:r>
      <w:r w:rsidR="002D3EAB">
        <w:rPr>
          <w:rFonts w:ascii="Arial" w:hAnsi="Arial" w:cs="Arial"/>
          <w:lang w:val="en-AU"/>
        </w:rPr>
        <w:t xml:space="preserve"> (</w:t>
      </w:r>
      <w:r w:rsidRPr="00D4403B">
        <w:rPr>
          <w:rFonts w:ascii="Arial" w:hAnsi="Arial" w:cs="Arial"/>
          <w:lang w:val="en-AU"/>
        </w:rPr>
        <w:t>5,17–19</w:t>
      </w:r>
      <w:r w:rsidR="002D3EAB">
        <w:rPr>
          <w:rFonts w:ascii="Arial" w:hAnsi="Arial" w:cs="Arial"/>
          <w:lang w:val="en-AU"/>
        </w:rPr>
        <w:t>).</w:t>
      </w:r>
    </w:p>
    <w:p w14:paraId="359B89BC" w14:textId="5EFD8268" w:rsidR="00D4403B" w:rsidRPr="00D4403B" w:rsidRDefault="00D4403B" w:rsidP="003423A5">
      <w:pPr>
        <w:spacing w:line="480" w:lineRule="auto"/>
        <w:rPr>
          <w:rFonts w:ascii="Arial" w:hAnsi="Arial" w:cs="Arial"/>
          <w:lang w:val="en-AU"/>
        </w:rPr>
      </w:pPr>
      <w:proofErr w:type="gramStart"/>
      <w:r w:rsidRPr="00D4403B">
        <w:rPr>
          <w:rFonts w:ascii="Arial" w:hAnsi="Arial" w:cs="Arial"/>
          <w:lang w:val="en-AU"/>
        </w:rPr>
        <w:lastRenderedPageBreak/>
        <w:t>The vast majority of</w:t>
      </w:r>
      <w:proofErr w:type="gramEnd"/>
      <w:r w:rsidRPr="00D4403B">
        <w:rPr>
          <w:rFonts w:ascii="Arial" w:hAnsi="Arial" w:cs="Arial"/>
          <w:lang w:val="en-AU"/>
        </w:rPr>
        <w:t xml:space="preserve"> studies analysing the efficacy of</w:t>
      </w:r>
      <w:r w:rsidR="003423A5">
        <w:rPr>
          <w:rFonts w:ascii="Arial" w:hAnsi="Arial" w:cs="Arial"/>
          <w:lang w:val="en-AU"/>
        </w:rPr>
        <w:t xml:space="preserve"> </w:t>
      </w:r>
      <w:r w:rsidRPr="00D4403B">
        <w:rPr>
          <w:rFonts w:ascii="Arial" w:hAnsi="Arial" w:cs="Arial"/>
          <w:lang w:val="en-AU"/>
        </w:rPr>
        <w:t xml:space="preserve">TXA in THA have involved </w:t>
      </w:r>
      <w:r w:rsidR="003423A5">
        <w:rPr>
          <w:rFonts w:ascii="Arial" w:hAnsi="Arial" w:cs="Arial"/>
          <w:lang w:val="en-AU"/>
        </w:rPr>
        <w:t>o</w:t>
      </w:r>
      <w:r w:rsidRPr="00D4403B">
        <w:rPr>
          <w:rFonts w:ascii="Arial" w:hAnsi="Arial" w:cs="Arial"/>
          <w:lang w:val="en-AU"/>
        </w:rPr>
        <w:t>perations performed by posterior</w:t>
      </w:r>
      <w:r w:rsidR="003423A5">
        <w:rPr>
          <w:rFonts w:ascii="Arial" w:hAnsi="Arial" w:cs="Arial"/>
          <w:lang w:val="en-AU"/>
        </w:rPr>
        <w:t xml:space="preserve"> </w:t>
      </w:r>
      <w:r w:rsidRPr="00D4403B">
        <w:rPr>
          <w:rFonts w:ascii="Arial" w:hAnsi="Arial" w:cs="Arial"/>
          <w:lang w:val="en-AU"/>
        </w:rPr>
        <w:t>or lateral surgical approaches. By contrast there is a</w:t>
      </w:r>
      <w:r w:rsidR="003423A5">
        <w:rPr>
          <w:rFonts w:ascii="Arial" w:hAnsi="Arial" w:cs="Arial"/>
          <w:lang w:val="en-AU"/>
        </w:rPr>
        <w:t xml:space="preserve"> </w:t>
      </w:r>
      <w:r w:rsidRPr="00D4403B">
        <w:rPr>
          <w:rFonts w:ascii="Arial" w:hAnsi="Arial" w:cs="Arial"/>
          <w:lang w:val="en-AU"/>
        </w:rPr>
        <w:t>paucity of evidence on the utility of TXA in the DAA. The</w:t>
      </w:r>
      <w:r w:rsidR="003423A5">
        <w:rPr>
          <w:rFonts w:ascii="Arial" w:hAnsi="Arial" w:cs="Arial"/>
          <w:lang w:val="en-AU"/>
        </w:rPr>
        <w:t xml:space="preserve"> </w:t>
      </w:r>
      <w:r w:rsidRPr="00D4403B">
        <w:rPr>
          <w:rFonts w:ascii="Arial" w:hAnsi="Arial" w:cs="Arial"/>
          <w:lang w:val="en-AU"/>
        </w:rPr>
        <w:t>aim of this study,</w:t>
      </w:r>
      <w:r w:rsidR="003423A5">
        <w:rPr>
          <w:rFonts w:ascii="Arial" w:hAnsi="Arial" w:cs="Arial"/>
          <w:lang w:val="en-AU"/>
        </w:rPr>
        <w:t xml:space="preserve"> </w:t>
      </w:r>
      <w:r w:rsidRPr="00D4403B">
        <w:rPr>
          <w:rFonts w:ascii="Arial" w:hAnsi="Arial" w:cs="Arial"/>
          <w:lang w:val="en-AU"/>
        </w:rPr>
        <w:t>therefore, was to investigate whether</w:t>
      </w:r>
      <w:r w:rsidR="003423A5">
        <w:rPr>
          <w:rFonts w:ascii="Arial" w:hAnsi="Arial" w:cs="Arial"/>
          <w:lang w:val="en-AU"/>
        </w:rPr>
        <w:t xml:space="preserve"> </w:t>
      </w:r>
      <w:r w:rsidRPr="00D4403B">
        <w:rPr>
          <w:rFonts w:ascii="Arial" w:hAnsi="Arial" w:cs="Arial"/>
          <w:lang w:val="en-AU"/>
        </w:rPr>
        <w:t>TXA reduced the rate of blood transfusion in patients</w:t>
      </w:r>
      <w:r w:rsidR="003423A5">
        <w:rPr>
          <w:rFonts w:ascii="Arial" w:hAnsi="Arial" w:cs="Arial"/>
          <w:lang w:val="en-AU"/>
        </w:rPr>
        <w:t xml:space="preserve"> </w:t>
      </w:r>
      <w:r w:rsidRPr="00D4403B">
        <w:rPr>
          <w:rFonts w:ascii="Arial" w:hAnsi="Arial" w:cs="Arial"/>
          <w:lang w:val="en-AU"/>
        </w:rPr>
        <w:t>undergoing DAA THA.</w:t>
      </w:r>
      <w:r w:rsidR="003423A5">
        <w:rPr>
          <w:rFonts w:ascii="Arial" w:hAnsi="Arial" w:cs="Arial"/>
          <w:lang w:val="en-AU"/>
        </w:rPr>
        <w:t xml:space="preserve"> </w:t>
      </w:r>
      <w:r w:rsidRPr="00D4403B">
        <w:rPr>
          <w:rFonts w:ascii="Arial" w:hAnsi="Arial" w:cs="Arial"/>
          <w:lang w:val="en-AU"/>
        </w:rPr>
        <w:t>Our study found that the use of TXA in DAA THA</w:t>
      </w:r>
      <w:r w:rsidR="003423A5">
        <w:rPr>
          <w:rFonts w:ascii="Arial" w:hAnsi="Arial" w:cs="Arial"/>
          <w:lang w:val="en-AU"/>
        </w:rPr>
        <w:t xml:space="preserve"> </w:t>
      </w:r>
      <w:r w:rsidRPr="00D4403B">
        <w:rPr>
          <w:rFonts w:ascii="Arial" w:hAnsi="Arial" w:cs="Arial"/>
          <w:lang w:val="en-AU"/>
        </w:rPr>
        <w:t>resulted in a significantly lower proportion of patients</w:t>
      </w:r>
      <w:r w:rsidR="003423A5">
        <w:rPr>
          <w:rFonts w:ascii="Arial" w:hAnsi="Arial" w:cs="Arial"/>
          <w:lang w:val="en-AU"/>
        </w:rPr>
        <w:t xml:space="preserve"> </w:t>
      </w:r>
      <w:r w:rsidRPr="00D4403B">
        <w:rPr>
          <w:rFonts w:ascii="Arial" w:hAnsi="Arial" w:cs="Arial"/>
          <w:lang w:val="en-AU"/>
        </w:rPr>
        <w:t>requiring transfusion. The relative risk of 0.11 indicates</w:t>
      </w:r>
      <w:r w:rsidR="003423A5">
        <w:rPr>
          <w:rFonts w:ascii="Arial" w:hAnsi="Arial" w:cs="Arial"/>
          <w:lang w:val="en-AU"/>
        </w:rPr>
        <w:t xml:space="preserve"> </w:t>
      </w:r>
      <w:r w:rsidRPr="00D4403B">
        <w:rPr>
          <w:rFonts w:ascii="Arial" w:hAnsi="Arial" w:cs="Arial"/>
          <w:lang w:val="en-AU"/>
        </w:rPr>
        <w:t>that patients who had TXA had an 89% reduced risk of</w:t>
      </w:r>
    </w:p>
    <w:p w14:paraId="25F48E83" w14:textId="5E7F5389" w:rsidR="00D4403B" w:rsidRPr="00D4403B" w:rsidRDefault="00D4403B" w:rsidP="003423A5">
      <w:pPr>
        <w:spacing w:line="480" w:lineRule="auto"/>
        <w:rPr>
          <w:rFonts w:ascii="Arial" w:hAnsi="Arial" w:cs="Arial"/>
          <w:lang w:val="en-AU"/>
        </w:rPr>
      </w:pPr>
      <w:r w:rsidRPr="00D4403B">
        <w:rPr>
          <w:rFonts w:ascii="Arial" w:hAnsi="Arial" w:cs="Arial"/>
          <w:lang w:val="en-AU"/>
        </w:rPr>
        <w:t>requiring blood transfusion compared to those who did not</w:t>
      </w:r>
      <w:r w:rsidR="003423A5">
        <w:rPr>
          <w:rFonts w:ascii="Arial" w:hAnsi="Arial" w:cs="Arial"/>
          <w:lang w:val="en-AU"/>
        </w:rPr>
        <w:t xml:space="preserve"> </w:t>
      </w:r>
      <w:r w:rsidRPr="00D4403B">
        <w:rPr>
          <w:rFonts w:ascii="Arial" w:hAnsi="Arial" w:cs="Arial"/>
          <w:lang w:val="en-AU"/>
        </w:rPr>
        <w:t>have TXA. In a</w:t>
      </w:r>
      <w:r w:rsidR="003423A5">
        <w:rPr>
          <w:rFonts w:ascii="Arial" w:hAnsi="Arial" w:cs="Arial"/>
          <w:lang w:val="en-AU"/>
        </w:rPr>
        <w:t xml:space="preserve"> </w:t>
      </w:r>
      <w:r w:rsidRPr="00D4403B">
        <w:rPr>
          <w:rFonts w:ascii="Arial" w:hAnsi="Arial" w:cs="Arial"/>
          <w:lang w:val="en-AU"/>
        </w:rPr>
        <w:t xml:space="preserve">randomised control trial, </w:t>
      </w:r>
      <w:proofErr w:type="spellStart"/>
      <w:r w:rsidRPr="00D4403B">
        <w:rPr>
          <w:rFonts w:ascii="Arial" w:hAnsi="Arial" w:cs="Arial"/>
          <w:lang w:val="en-AU"/>
        </w:rPr>
        <w:t>Fraval</w:t>
      </w:r>
      <w:proofErr w:type="spellEnd"/>
      <w:r w:rsidRPr="00D4403B">
        <w:rPr>
          <w:rFonts w:ascii="Arial" w:hAnsi="Arial" w:cs="Arial"/>
          <w:lang w:val="en-AU"/>
        </w:rPr>
        <w:t xml:space="preserve"> </w:t>
      </w:r>
      <w:proofErr w:type="gramStart"/>
      <w:r w:rsidRPr="00D4403B">
        <w:rPr>
          <w:rFonts w:ascii="Arial" w:hAnsi="Arial" w:cs="Arial"/>
          <w:lang w:val="en-AU"/>
        </w:rPr>
        <w:t>et al.</w:t>
      </w:r>
      <w:r w:rsidR="003423A5">
        <w:rPr>
          <w:rFonts w:ascii="Arial" w:hAnsi="Arial" w:cs="Arial"/>
          <w:lang w:val="en-AU"/>
        </w:rPr>
        <w:t>(</w:t>
      </w:r>
      <w:proofErr w:type="gramEnd"/>
      <w:r w:rsidRPr="00D4403B">
        <w:rPr>
          <w:rFonts w:ascii="Arial" w:hAnsi="Arial" w:cs="Arial"/>
          <w:lang w:val="en-AU"/>
        </w:rPr>
        <w:t>25</w:t>
      </w:r>
      <w:r w:rsidR="003423A5">
        <w:rPr>
          <w:rFonts w:ascii="Arial" w:hAnsi="Arial" w:cs="Arial"/>
          <w:lang w:val="en-AU"/>
        </w:rPr>
        <w:t xml:space="preserve">) </w:t>
      </w:r>
      <w:r w:rsidRPr="00D4403B">
        <w:rPr>
          <w:rFonts w:ascii="Arial" w:hAnsi="Arial" w:cs="Arial"/>
          <w:lang w:val="en-AU"/>
        </w:rPr>
        <w:t>analysed 101 DAA THA in 50 patients that received TXA</w:t>
      </w:r>
      <w:r w:rsidR="003423A5">
        <w:rPr>
          <w:rFonts w:ascii="Arial" w:hAnsi="Arial" w:cs="Arial"/>
          <w:lang w:val="en-AU"/>
        </w:rPr>
        <w:t xml:space="preserve"> </w:t>
      </w:r>
      <w:r w:rsidRPr="00D4403B">
        <w:rPr>
          <w:rFonts w:ascii="Arial" w:hAnsi="Arial" w:cs="Arial"/>
          <w:lang w:val="en-AU"/>
        </w:rPr>
        <w:t>and 51 that did not. Although the authors demonstrated</w:t>
      </w:r>
      <w:r w:rsidR="003423A5">
        <w:rPr>
          <w:rFonts w:ascii="Arial" w:hAnsi="Arial" w:cs="Arial"/>
          <w:lang w:val="en-AU"/>
        </w:rPr>
        <w:t xml:space="preserve"> </w:t>
      </w:r>
      <w:r w:rsidRPr="00D4403B">
        <w:rPr>
          <w:rFonts w:ascii="Arial" w:hAnsi="Arial" w:cs="Arial"/>
          <w:lang w:val="en-AU"/>
        </w:rPr>
        <w:t>that blood</w:t>
      </w:r>
      <w:r w:rsidR="003423A5">
        <w:rPr>
          <w:rFonts w:ascii="Arial" w:hAnsi="Arial" w:cs="Arial"/>
          <w:lang w:val="en-AU"/>
        </w:rPr>
        <w:t xml:space="preserve"> </w:t>
      </w:r>
      <w:r w:rsidRPr="00D4403B">
        <w:rPr>
          <w:rFonts w:ascii="Arial" w:hAnsi="Arial" w:cs="Arial"/>
          <w:lang w:val="en-AU"/>
        </w:rPr>
        <w:t>transfusion rate was reduced in the TXA group,</w:t>
      </w:r>
      <w:r w:rsidR="003423A5">
        <w:rPr>
          <w:rFonts w:ascii="Arial" w:hAnsi="Arial" w:cs="Arial"/>
          <w:lang w:val="en-AU"/>
        </w:rPr>
        <w:t xml:space="preserve"> </w:t>
      </w:r>
      <w:r w:rsidRPr="00D4403B">
        <w:rPr>
          <w:rFonts w:ascii="Arial" w:hAnsi="Arial" w:cs="Arial"/>
          <w:lang w:val="en-AU"/>
        </w:rPr>
        <w:t>their finding was not statistically significant. Other studies</w:t>
      </w:r>
      <w:r w:rsidR="003423A5">
        <w:rPr>
          <w:rFonts w:ascii="Arial" w:hAnsi="Arial" w:cs="Arial"/>
          <w:lang w:val="en-AU"/>
        </w:rPr>
        <w:t xml:space="preserve"> </w:t>
      </w:r>
      <w:r w:rsidRPr="00D4403B">
        <w:rPr>
          <w:rFonts w:ascii="Arial" w:hAnsi="Arial" w:cs="Arial"/>
          <w:lang w:val="en-AU"/>
        </w:rPr>
        <w:t>have found the use of TXA in THA performed using other</w:t>
      </w:r>
    </w:p>
    <w:p w14:paraId="320BF75B" w14:textId="32BBB7C3" w:rsidR="00D4403B" w:rsidRDefault="00D4403B" w:rsidP="00D4403B">
      <w:pPr>
        <w:spacing w:line="480" w:lineRule="auto"/>
        <w:rPr>
          <w:rFonts w:ascii="Arial" w:hAnsi="Arial" w:cs="Arial"/>
          <w:lang w:val="en-AU"/>
        </w:rPr>
      </w:pPr>
      <w:r w:rsidRPr="00D4403B">
        <w:rPr>
          <w:rFonts w:ascii="Arial" w:hAnsi="Arial" w:cs="Arial"/>
          <w:lang w:val="en-AU"/>
        </w:rPr>
        <w:t>approaches significantly reduces transfusion rates</w:t>
      </w:r>
      <w:r w:rsidR="003423A5">
        <w:rPr>
          <w:rFonts w:ascii="Arial" w:hAnsi="Arial" w:cs="Arial"/>
          <w:lang w:val="en-AU"/>
        </w:rPr>
        <w:t xml:space="preserve"> (2</w:t>
      </w:r>
      <w:r w:rsidRPr="00D4403B">
        <w:rPr>
          <w:rFonts w:ascii="Arial" w:hAnsi="Arial" w:cs="Arial"/>
          <w:lang w:val="en-AU"/>
        </w:rPr>
        <w:t>,4,5,26</w:t>
      </w:r>
      <w:r w:rsidR="003423A5">
        <w:rPr>
          <w:rFonts w:ascii="Arial" w:hAnsi="Arial" w:cs="Arial"/>
          <w:lang w:val="en-AU"/>
        </w:rPr>
        <w:t>)</w:t>
      </w:r>
    </w:p>
    <w:p w14:paraId="668587FB" w14:textId="77777777" w:rsidR="003423A5" w:rsidRPr="00D4403B" w:rsidRDefault="003423A5" w:rsidP="00D4403B">
      <w:pPr>
        <w:spacing w:line="480" w:lineRule="auto"/>
        <w:rPr>
          <w:rFonts w:ascii="Arial" w:hAnsi="Arial" w:cs="Arial"/>
          <w:lang w:val="en-AU"/>
        </w:rPr>
      </w:pPr>
    </w:p>
    <w:p w14:paraId="0CF12D06" w14:textId="676C7A57" w:rsidR="00D4403B" w:rsidRPr="00D4403B" w:rsidRDefault="00D4403B" w:rsidP="003423A5">
      <w:pPr>
        <w:spacing w:line="480" w:lineRule="auto"/>
        <w:rPr>
          <w:rFonts w:ascii="Arial" w:hAnsi="Arial" w:cs="Arial"/>
          <w:lang w:val="en-AU"/>
        </w:rPr>
      </w:pPr>
      <w:r w:rsidRPr="00D4403B">
        <w:rPr>
          <w:rFonts w:ascii="Arial" w:hAnsi="Arial" w:cs="Arial"/>
          <w:lang w:val="en-AU"/>
        </w:rPr>
        <w:t>Our findings are in accordance with these studies. The</w:t>
      </w:r>
      <w:r w:rsidR="003423A5">
        <w:rPr>
          <w:rFonts w:ascii="Arial" w:hAnsi="Arial" w:cs="Arial"/>
          <w:lang w:val="en-AU"/>
        </w:rPr>
        <w:t xml:space="preserve"> </w:t>
      </w:r>
      <w:r w:rsidRPr="00D4403B">
        <w:rPr>
          <w:rFonts w:ascii="Arial" w:hAnsi="Arial" w:cs="Arial"/>
          <w:lang w:val="en-AU"/>
        </w:rPr>
        <w:t>transfusion rate of 1.2%</w:t>
      </w:r>
      <w:r w:rsidR="003423A5">
        <w:rPr>
          <w:rFonts w:ascii="Arial" w:hAnsi="Arial" w:cs="Arial"/>
          <w:lang w:val="en-AU"/>
        </w:rPr>
        <w:t xml:space="preserve"> </w:t>
      </w:r>
      <w:r w:rsidRPr="00D4403B">
        <w:rPr>
          <w:rFonts w:ascii="Arial" w:hAnsi="Arial" w:cs="Arial"/>
          <w:lang w:val="en-AU"/>
        </w:rPr>
        <w:t>when TXA was used is lower than</w:t>
      </w:r>
      <w:r w:rsidR="003423A5">
        <w:rPr>
          <w:rFonts w:ascii="Arial" w:hAnsi="Arial" w:cs="Arial"/>
          <w:lang w:val="en-AU"/>
        </w:rPr>
        <w:t xml:space="preserve"> </w:t>
      </w:r>
      <w:r w:rsidRPr="00D4403B">
        <w:rPr>
          <w:rFonts w:ascii="Arial" w:hAnsi="Arial" w:cs="Arial"/>
          <w:lang w:val="en-AU"/>
        </w:rPr>
        <w:t>that reported in other studies</w:t>
      </w:r>
      <w:r w:rsidR="003423A5">
        <w:rPr>
          <w:rFonts w:ascii="Arial" w:hAnsi="Arial" w:cs="Arial"/>
          <w:lang w:val="en-AU"/>
        </w:rPr>
        <w:t xml:space="preserve"> (</w:t>
      </w:r>
      <w:r w:rsidRPr="00D4403B">
        <w:rPr>
          <w:rFonts w:ascii="Arial" w:hAnsi="Arial" w:cs="Arial"/>
          <w:lang w:val="en-AU"/>
        </w:rPr>
        <w:t>2–4,27–29</w:t>
      </w:r>
      <w:r w:rsidR="003423A5">
        <w:rPr>
          <w:rFonts w:ascii="Arial" w:hAnsi="Arial" w:cs="Arial"/>
          <w:lang w:val="en-AU"/>
        </w:rPr>
        <w:t>). D</w:t>
      </w:r>
      <w:r w:rsidRPr="00D4403B">
        <w:rPr>
          <w:rFonts w:ascii="Arial" w:hAnsi="Arial" w:cs="Arial"/>
          <w:lang w:val="en-AU"/>
        </w:rPr>
        <w:t>espite the small number of patients requiring a transfusion</w:t>
      </w:r>
      <w:r w:rsidR="003423A5">
        <w:rPr>
          <w:rFonts w:ascii="Arial" w:hAnsi="Arial" w:cs="Arial"/>
          <w:lang w:val="en-AU"/>
        </w:rPr>
        <w:t xml:space="preserve"> </w:t>
      </w:r>
      <w:r w:rsidRPr="00D4403B">
        <w:rPr>
          <w:rFonts w:ascii="Arial" w:hAnsi="Arial" w:cs="Arial"/>
          <w:lang w:val="en-AU"/>
        </w:rPr>
        <w:t>(7 in the without TXA group and 1 in the with TXA</w:t>
      </w:r>
      <w:r w:rsidR="003423A5">
        <w:rPr>
          <w:rFonts w:ascii="Arial" w:hAnsi="Arial" w:cs="Arial"/>
          <w:lang w:val="en-AU"/>
        </w:rPr>
        <w:t xml:space="preserve"> </w:t>
      </w:r>
      <w:r w:rsidRPr="00D4403B">
        <w:rPr>
          <w:rFonts w:ascii="Arial" w:hAnsi="Arial" w:cs="Arial"/>
          <w:lang w:val="en-AU"/>
        </w:rPr>
        <w:t>group), it is reassuring that there were no significant differences</w:t>
      </w:r>
      <w:r w:rsidR="003423A5">
        <w:rPr>
          <w:rFonts w:ascii="Arial" w:hAnsi="Arial" w:cs="Arial"/>
          <w:lang w:val="en-AU"/>
        </w:rPr>
        <w:t xml:space="preserve"> </w:t>
      </w:r>
      <w:r w:rsidRPr="00D4403B">
        <w:rPr>
          <w:rFonts w:ascii="Arial" w:hAnsi="Arial" w:cs="Arial"/>
          <w:lang w:val="en-AU"/>
        </w:rPr>
        <w:t>in the baseline characteristics of the with TXA versus</w:t>
      </w:r>
      <w:r w:rsidR="003423A5">
        <w:rPr>
          <w:rFonts w:ascii="Arial" w:hAnsi="Arial" w:cs="Arial"/>
          <w:lang w:val="en-AU"/>
        </w:rPr>
        <w:t xml:space="preserve"> </w:t>
      </w:r>
      <w:r w:rsidRPr="00D4403B">
        <w:rPr>
          <w:rFonts w:ascii="Arial" w:hAnsi="Arial" w:cs="Arial"/>
          <w:lang w:val="en-AU"/>
        </w:rPr>
        <w:t>without TXA</w:t>
      </w:r>
      <w:r w:rsidR="003423A5">
        <w:rPr>
          <w:rFonts w:ascii="Arial" w:hAnsi="Arial" w:cs="Arial"/>
          <w:lang w:val="en-AU"/>
        </w:rPr>
        <w:t xml:space="preserve"> </w:t>
      </w:r>
      <w:r w:rsidRPr="00D4403B">
        <w:rPr>
          <w:rFonts w:ascii="Arial" w:hAnsi="Arial" w:cs="Arial"/>
          <w:lang w:val="en-AU"/>
        </w:rPr>
        <w:t>groups. This provides reassurance that</w:t>
      </w:r>
      <w:r w:rsidR="003423A5">
        <w:rPr>
          <w:rFonts w:ascii="Arial" w:hAnsi="Arial" w:cs="Arial"/>
          <w:lang w:val="en-AU"/>
        </w:rPr>
        <w:t xml:space="preserve"> </w:t>
      </w:r>
      <w:r w:rsidRPr="00D4403B">
        <w:rPr>
          <w:rFonts w:ascii="Arial" w:hAnsi="Arial" w:cs="Arial"/>
          <w:lang w:val="en-AU"/>
        </w:rPr>
        <w:t>the main outcome (transfusion) was</w:t>
      </w:r>
      <w:r w:rsidR="003423A5">
        <w:rPr>
          <w:rFonts w:ascii="Arial" w:hAnsi="Arial" w:cs="Arial"/>
          <w:lang w:val="en-AU"/>
        </w:rPr>
        <w:t xml:space="preserve"> </w:t>
      </w:r>
      <w:r w:rsidRPr="00D4403B">
        <w:rPr>
          <w:rFonts w:ascii="Arial" w:hAnsi="Arial" w:cs="Arial"/>
          <w:lang w:val="en-AU"/>
        </w:rPr>
        <w:t>independently associated</w:t>
      </w:r>
      <w:r w:rsidR="003423A5">
        <w:rPr>
          <w:rFonts w:ascii="Arial" w:hAnsi="Arial" w:cs="Arial"/>
          <w:lang w:val="en-AU"/>
        </w:rPr>
        <w:t xml:space="preserve"> </w:t>
      </w:r>
      <w:r w:rsidRPr="00D4403B">
        <w:rPr>
          <w:rFonts w:ascii="Arial" w:hAnsi="Arial" w:cs="Arial"/>
          <w:lang w:val="en-AU"/>
        </w:rPr>
        <w:t>with TXA use. However, this requires further investigation</w:t>
      </w:r>
    </w:p>
    <w:p w14:paraId="1555F079" w14:textId="139E20D7" w:rsidR="00D4403B" w:rsidRDefault="00D4403B" w:rsidP="003423A5">
      <w:pPr>
        <w:spacing w:line="480" w:lineRule="auto"/>
        <w:rPr>
          <w:rFonts w:ascii="Arial" w:hAnsi="Arial" w:cs="Arial"/>
          <w:lang w:val="en-AU"/>
        </w:rPr>
      </w:pPr>
      <w:r w:rsidRPr="00D4403B">
        <w:rPr>
          <w:rFonts w:ascii="Arial" w:hAnsi="Arial" w:cs="Arial"/>
          <w:lang w:val="en-AU"/>
        </w:rPr>
        <w:t>in a study with a large sample population in order to</w:t>
      </w:r>
      <w:r w:rsidR="003423A5">
        <w:rPr>
          <w:rFonts w:ascii="Arial" w:hAnsi="Arial" w:cs="Arial"/>
          <w:lang w:val="en-AU"/>
        </w:rPr>
        <w:t xml:space="preserve"> </w:t>
      </w:r>
      <w:r w:rsidRPr="00D4403B">
        <w:rPr>
          <w:rFonts w:ascii="Arial" w:hAnsi="Arial" w:cs="Arial"/>
          <w:lang w:val="en-AU"/>
        </w:rPr>
        <w:t xml:space="preserve">identify </w:t>
      </w:r>
      <w:proofErr w:type="gramStart"/>
      <w:r w:rsidRPr="00D4403B">
        <w:rPr>
          <w:rFonts w:ascii="Arial" w:hAnsi="Arial" w:cs="Arial"/>
          <w:lang w:val="en-AU"/>
        </w:rPr>
        <w:t>sufficient</w:t>
      </w:r>
      <w:proofErr w:type="gramEnd"/>
      <w:r w:rsidRPr="00D4403B">
        <w:rPr>
          <w:rFonts w:ascii="Arial" w:hAnsi="Arial" w:cs="Arial"/>
          <w:lang w:val="en-AU"/>
        </w:rPr>
        <w:t xml:space="preserve"> numbers of patients with the outcome of</w:t>
      </w:r>
      <w:r w:rsidR="003423A5">
        <w:rPr>
          <w:rFonts w:ascii="Arial" w:hAnsi="Arial" w:cs="Arial"/>
          <w:lang w:val="en-AU"/>
        </w:rPr>
        <w:t xml:space="preserve"> </w:t>
      </w:r>
      <w:r w:rsidRPr="00D4403B">
        <w:rPr>
          <w:rFonts w:ascii="Arial" w:hAnsi="Arial" w:cs="Arial"/>
          <w:lang w:val="en-AU"/>
        </w:rPr>
        <w:t>interest in each group, and to adjust for potential</w:t>
      </w:r>
      <w:r w:rsidR="003423A5">
        <w:rPr>
          <w:rFonts w:ascii="Arial" w:hAnsi="Arial" w:cs="Arial"/>
          <w:lang w:val="en-AU"/>
        </w:rPr>
        <w:t xml:space="preserve"> </w:t>
      </w:r>
      <w:r w:rsidRPr="00D4403B">
        <w:rPr>
          <w:rFonts w:ascii="Arial" w:hAnsi="Arial" w:cs="Arial"/>
          <w:lang w:val="en-AU"/>
        </w:rPr>
        <w:t>confounding</w:t>
      </w:r>
      <w:r w:rsidR="003423A5">
        <w:rPr>
          <w:rFonts w:ascii="Arial" w:hAnsi="Arial" w:cs="Arial"/>
          <w:lang w:val="en-AU"/>
        </w:rPr>
        <w:t xml:space="preserve"> </w:t>
      </w:r>
      <w:r w:rsidRPr="00D4403B">
        <w:rPr>
          <w:rFonts w:ascii="Arial" w:hAnsi="Arial" w:cs="Arial"/>
          <w:lang w:val="en-AU"/>
        </w:rPr>
        <w:t>variables.</w:t>
      </w:r>
    </w:p>
    <w:p w14:paraId="2BE6B03D" w14:textId="77777777" w:rsidR="003423A5" w:rsidRDefault="003423A5" w:rsidP="002D3EAB">
      <w:pPr>
        <w:spacing w:line="480" w:lineRule="auto"/>
        <w:rPr>
          <w:rFonts w:ascii="Arial" w:hAnsi="Arial" w:cs="Arial"/>
          <w:lang w:val="en-AU"/>
        </w:rPr>
      </w:pPr>
    </w:p>
    <w:p w14:paraId="3FF8C9AB" w14:textId="04D3F406" w:rsidR="00D4403B" w:rsidRPr="002D3EAB" w:rsidRDefault="00D4403B" w:rsidP="003423A5">
      <w:pPr>
        <w:spacing w:line="480" w:lineRule="auto"/>
        <w:rPr>
          <w:rFonts w:ascii="Arial" w:hAnsi="Arial" w:cs="Arial"/>
          <w:lang w:val="en-AU"/>
        </w:rPr>
      </w:pPr>
      <w:r w:rsidRPr="002D3EAB">
        <w:rPr>
          <w:rFonts w:ascii="Arial" w:hAnsi="Arial" w:cs="Arial"/>
          <w:lang w:val="en-AU"/>
        </w:rPr>
        <w:lastRenderedPageBreak/>
        <w:t>A 2nd significant difference between the groups was in</w:t>
      </w:r>
      <w:r w:rsidR="003423A5">
        <w:rPr>
          <w:rFonts w:ascii="Arial" w:hAnsi="Arial" w:cs="Arial"/>
          <w:lang w:val="en-AU"/>
        </w:rPr>
        <w:t xml:space="preserve"> </w:t>
      </w:r>
      <w:r w:rsidRPr="002D3EAB">
        <w:rPr>
          <w:rFonts w:ascii="Arial" w:hAnsi="Arial" w:cs="Arial"/>
          <w:lang w:val="en-AU"/>
        </w:rPr>
        <w:t>change in mean</w:t>
      </w:r>
      <w:r w:rsidR="003423A5">
        <w:rPr>
          <w:rFonts w:ascii="Arial" w:hAnsi="Arial" w:cs="Arial"/>
          <w:lang w:val="en-AU"/>
        </w:rPr>
        <w:t xml:space="preserve"> </w:t>
      </w:r>
      <w:r w:rsidRPr="002D3EAB">
        <w:rPr>
          <w:rFonts w:ascii="Arial" w:hAnsi="Arial" w:cs="Arial"/>
          <w:lang w:val="en-AU"/>
        </w:rPr>
        <w:t>haemoglobin, with a reduction of 37.9 in</w:t>
      </w:r>
      <w:r w:rsidR="003423A5">
        <w:rPr>
          <w:rFonts w:ascii="Arial" w:hAnsi="Arial" w:cs="Arial"/>
          <w:lang w:val="en-AU"/>
        </w:rPr>
        <w:t xml:space="preserve"> </w:t>
      </w:r>
      <w:r w:rsidRPr="002D3EAB">
        <w:rPr>
          <w:rFonts w:ascii="Arial" w:hAnsi="Arial" w:cs="Arial"/>
          <w:lang w:val="en-AU"/>
        </w:rPr>
        <w:t>the without TXA group compared to a reduction of 32.6 in</w:t>
      </w:r>
      <w:r w:rsidR="003423A5">
        <w:rPr>
          <w:rFonts w:ascii="Arial" w:hAnsi="Arial" w:cs="Arial"/>
          <w:lang w:val="en-AU"/>
        </w:rPr>
        <w:t xml:space="preserve"> </w:t>
      </w:r>
      <w:r w:rsidRPr="002D3EAB">
        <w:rPr>
          <w:rFonts w:ascii="Arial" w:hAnsi="Arial" w:cs="Arial"/>
          <w:lang w:val="en-AU"/>
        </w:rPr>
        <w:t>the with TXA group. This reduction in haemoglobin in the</w:t>
      </w:r>
    </w:p>
    <w:p w14:paraId="0A724556" w14:textId="6A2294CD" w:rsidR="00D4403B" w:rsidRDefault="00D4403B" w:rsidP="003423A5">
      <w:pPr>
        <w:spacing w:line="480" w:lineRule="auto"/>
        <w:rPr>
          <w:rFonts w:ascii="Arial" w:hAnsi="Arial" w:cs="Arial"/>
          <w:lang w:val="en-AU"/>
        </w:rPr>
      </w:pPr>
      <w:r w:rsidRPr="002D3EAB">
        <w:rPr>
          <w:rFonts w:ascii="Arial" w:hAnsi="Arial" w:cs="Arial"/>
          <w:lang w:val="en-AU"/>
        </w:rPr>
        <w:t>TXA group is higher than values reported in other</w:t>
      </w:r>
      <w:r w:rsidR="003423A5">
        <w:rPr>
          <w:rFonts w:ascii="Arial" w:hAnsi="Arial" w:cs="Arial"/>
          <w:lang w:val="en-AU"/>
        </w:rPr>
        <w:t xml:space="preserve"> </w:t>
      </w:r>
      <w:r w:rsidRPr="002D3EAB">
        <w:rPr>
          <w:rFonts w:ascii="Arial" w:hAnsi="Arial" w:cs="Arial"/>
          <w:lang w:val="en-AU"/>
        </w:rPr>
        <w:t>studies</w:t>
      </w:r>
      <w:r w:rsidR="003423A5">
        <w:rPr>
          <w:rFonts w:ascii="Arial" w:hAnsi="Arial" w:cs="Arial"/>
          <w:lang w:val="en-AU"/>
        </w:rPr>
        <w:t xml:space="preserve"> (</w:t>
      </w:r>
      <w:r w:rsidRPr="002D3EAB">
        <w:rPr>
          <w:rFonts w:ascii="Arial" w:hAnsi="Arial" w:cs="Arial"/>
          <w:lang w:val="en-AU"/>
        </w:rPr>
        <w:t>2,3,29,30</w:t>
      </w:r>
      <w:r w:rsidR="003423A5">
        <w:rPr>
          <w:rFonts w:ascii="Arial" w:hAnsi="Arial" w:cs="Arial"/>
          <w:lang w:val="en-AU"/>
        </w:rPr>
        <w:t>).</w:t>
      </w:r>
    </w:p>
    <w:p w14:paraId="4BB3758E" w14:textId="77777777" w:rsidR="003423A5" w:rsidRPr="002D3EAB" w:rsidRDefault="003423A5" w:rsidP="003423A5">
      <w:pPr>
        <w:spacing w:line="480" w:lineRule="auto"/>
        <w:rPr>
          <w:rFonts w:ascii="Arial" w:hAnsi="Arial" w:cs="Arial"/>
          <w:lang w:val="en-AU"/>
        </w:rPr>
      </w:pPr>
    </w:p>
    <w:p w14:paraId="45D6E4BF" w14:textId="5374B6DA" w:rsidR="00D4403B" w:rsidRPr="002D3EAB" w:rsidRDefault="00D4403B" w:rsidP="003423A5">
      <w:pPr>
        <w:spacing w:line="480" w:lineRule="auto"/>
        <w:rPr>
          <w:rFonts w:ascii="Arial" w:hAnsi="Arial" w:cs="Arial"/>
          <w:lang w:val="en-AU"/>
        </w:rPr>
      </w:pPr>
      <w:r w:rsidRPr="002D3EAB">
        <w:rPr>
          <w:rFonts w:ascii="Arial" w:hAnsi="Arial" w:cs="Arial"/>
          <w:lang w:val="en-AU"/>
        </w:rPr>
        <w:t>Our study also found that there was no significant difference</w:t>
      </w:r>
      <w:r w:rsidR="003423A5">
        <w:rPr>
          <w:rFonts w:ascii="Arial" w:hAnsi="Arial" w:cs="Arial"/>
          <w:lang w:val="en-AU"/>
        </w:rPr>
        <w:t xml:space="preserve"> </w:t>
      </w:r>
      <w:r w:rsidRPr="002D3EAB">
        <w:rPr>
          <w:rFonts w:ascii="Arial" w:hAnsi="Arial" w:cs="Arial"/>
          <w:lang w:val="en-AU"/>
        </w:rPr>
        <w:t>in mean LOS when TXA was used. Other studies</w:t>
      </w:r>
      <w:r w:rsidR="003423A5">
        <w:rPr>
          <w:rFonts w:ascii="Arial" w:hAnsi="Arial" w:cs="Arial"/>
          <w:lang w:val="en-AU"/>
        </w:rPr>
        <w:t xml:space="preserve"> </w:t>
      </w:r>
      <w:r w:rsidRPr="002D3EAB">
        <w:rPr>
          <w:rFonts w:ascii="Arial" w:hAnsi="Arial" w:cs="Arial"/>
          <w:lang w:val="en-AU"/>
        </w:rPr>
        <w:t>have suggested that the use of TXA can reduce hospital</w:t>
      </w:r>
      <w:r w:rsidR="003423A5">
        <w:rPr>
          <w:rFonts w:ascii="Arial" w:hAnsi="Arial" w:cs="Arial"/>
          <w:lang w:val="en-AU"/>
        </w:rPr>
        <w:t xml:space="preserve"> </w:t>
      </w:r>
      <w:r w:rsidRPr="002D3EAB">
        <w:rPr>
          <w:rFonts w:ascii="Arial" w:hAnsi="Arial" w:cs="Arial"/>
          <w:lang w:val="en-AU"/>
        </w:rPr>
        <w:t>LOS.31,32 The impact of TXA use on hospital LOS requires</w:t>
      </w:r>
      <w:r w:rsidR="003423A5">
        <w:rPr>
          <w:rFonts w:ascii="Arial" w:hAnsi="Arial" w:cs="Arial"/>
          <w:lang w:val="en-AU"/>
        </w:rPr>
        <w:t xml:space="preserve"> </w:t>
      </w:r>
      <w:r w:rsidRPr="002D3EAB">
        <w:rPr>
          <w:rFonts w:ascii="Arial" w:hAnsi="Arial" w:cs="Arial"/>
          <w:lang w:val="en-AU"/>
        </w:rPr>
        <w:t>further exploration in a prospective randomised controlled</w:t>
      </w:r>
      <w:r w:rsidR="003423A5">
        <w:rPr>
          <w:rFonts w:ascii="Arial" w:hAnsi="Arial" w:cs="Arial"/>
          <w:lang w:val="en-AU"/>
        </w:rPr>
        <w:t xml:space="preserve"> </w:t>
      </w:r>
      <w:r w:rsidRPr="002D3EAB">
        <w:rPr>
          <w:rFonts w:ascii="Arial" w:hAnsi="Arial" w:cs="Arial"/>
          <w:lang w:val="en-AU"/>
        </w:rPr>
        <w:t>trial. We found no significant differences in rates of</w:t>
      </w:r>
      <w:r w:rsidR="003423A5">
        <w:rPr>
          <w:rFonts w:ascii="Arial" w:hAnsi="Arial" w:cs="Arial"/>
          <w:lang w:val="en-AU"/>
        </w:rPr>
        <w:t xml:space="preserve"> </w:t>
      </w:r>
      <w:r w:rsidRPr="002D3EAB">
        <w:rPr>
          <w:rFonts w:ascii="Arial" w:hAnsi="Arial" w:cs="Arial"/>
          <w:lang w:val="en-AU"/>
        </w:rPr>
        <w:t>patients returning to theatre for wound-related complications</w:t>
      </w:r>
      <w:r w:rsidR="003423A5">
        <w:rPr>
          <w:rFonts w:ascii="Arial" w:hAnsi="Arial" w:cs="Arial"/>
          <w:lang w:val="en-AU"/>
        </w:rPr>
        <w:t xml:space="preserve"> </w:t>
      </w:r>
      <w:r w:rsidRPr="002D3EAB">
        <w:rPr>
          <w:rFonts w:ascii="Arial" w:hAnsi="Arial" w:cs="Arial"/>
          <w:lang w:val="en-AU"/>
        </w:rPr>
        <w:t>between groups, however these events occurred in</w:t>
      </w:r>
      <w:r w:rsidR="003423A5">
        <w:rPr>
          <w:rFonts w:ascii="Arial" w:hAnsi="Arial" w:cs="Arial"/>
          <w:lang w:val="en-AU"/>
        </w:rPr>
        <w:t xml:space="preserve"> </w:t>
      </w:r>
      <w:r w:rsidRPr="002D3EAB">
        <w:rPr>
          <w:rFonts w:ascii="Arial" w:hAnsi="Arial" w:cs="Arial"/>
          <w:lang w:val="en-AU"/>
        </w:rPr>
        <w:t>low numbers making it difficult to draw valid</w:t>
      </w:r>
    </w:p>
    <w:p w14:paraId="60124056" w14:textId="3F97A97B" w:rsidR="00D4403B" w:rsidRDefault="00D4403B" w:rsidP="002D3EAB">
      <w:pPr>
        <w:spacing w:line="480" w:lineRule="auto"/>
        <w:rPr>
          <w:rFonts w:ascii="Arial" w:hAnsi="Arial" w:cs="Arial"/>
          <w:lang w:val="en-AU"/>
        </w:rPr>
      </w:pPr>
      <w:r w:rsidRPr="002D3EAB">
        <w:rPr>
          <w:rFonts w:ascii="Arial" w:hAnsi="Arial" w:cs="Arial"/>
          <w:lang w:val="en-AU"/>
        </w:rPr>
        <w:t>conclusions.</w:t>
      </w:r>
    </w:p>
    <w:p w14:paraId="384D96D2" w14:textId="77777777" w:rsidR="003423A5" w:rsidRPr="002D3EAB" w:rsidRDefault="003423A5" w:rsidP="002D3EAB">
      <w:pPr>
        <w:spacing w:line="480" w:lineRule="auto"/>
        <w:rPr>
          <w:rFonts w:ascii="Arial" w:hAnsi="Arial" w:cs="Arial"/>
          <w:lang w:val="en-AU"/>
        </w:rPr>
      </w:pPr>
    </w:p>
    <w:p w14:paraId="118C9859" w14:textId="73A0E3DF" w:rsidR="00D4403B" w:rsidRPr="002D3EAB" w:rsidRDefault="00D4403B" w:rsidP="003423A5">
      <w:pPr>
        <w:spacing w:line="480" w:lineRule="auto"/>
        <w:rPr>
          <w:rFonts w:ascii="Arial" w:hAnsi="Arial" w:cs="Arial"/>
          <w:lang w:val="en-AU"/>
        </w:rPr>
      </w:pPr>
      <w:r w:rsidRPr="002D3EAB">
        <w:rPr>
          <w:rFonts w:ascii="Arial" w:hAnsi="Arial" w:cs="Arial"/>
          <w:lang w:val="en-AU"/>
        </w:rPr>
        <w:t>There are several limitations to our study. Its retrospective</w:t>
      </w:r>
      <w:r w:rsidR="003423A5">
        <w:rPr>
          <w:rFonts w:ascii="Arial" w:hAnsi="Arial" w:cs="Arial"/>
          <w:lang w:val="en-AU"/>
        </w:rPr>
        <w:t xml:space="preserve"> </w:t>
      </w:r>
      <w:r w:rsidRPr="002D3EAB">
        <w:rPr>
          <w:rFonts w:ascii="Arial" w:hAnsi="Arial" w:cs="Arial"/>
          <w:lang w:val="en-AU"/>
        </w:rPr>
        <w:t>design makes it difficult to control for confounding</w:t>
      </w:r>
      <w:r w:rsidR="003423A5">
        <w:rPr>
          <w:rFonts w:ascii="Arial" w:hAnsi="Arial" w:cs="Arial"/>
          <w:lang w:val="en-AU"/>
        </w:rPr>
        <w:t xml:space="preserve"> </w:t>
      </w:r>
      <w:r w:rsidRPr="002D3EAB">
        <w:rPr>
          <w:rFonts w:ascii="Arial" w:hAnsi="Arial" w:cs="Arial"/>
          <w:lang w:val="en-AU"/>
        </w:rPr>
        <w:t xml:space="preserve">factors </w:t>
      </w:r>
      <w:proofErr w:type="gramStart"/>
      <w:r w:rsidRPr="002D3EAB">
        <w:rPr>
          <w:rFonts w:ascii="Arial" w:hAnsi="Arial" w:cs="Arial"/>
          <w:lang w:val="en-AU"/>
        </w:rPr>
        <w:t>and also</w:t>
      </w:r>
      <w:proofErr w:type="gramEnd"/>
      <w:r w:rsidRPr="002D3EAB">
        <w:rPr>
          <w:rFonts w:ascii="Arial" w:hAnsi="Arial" w:cs="Arial"/>
          <w:lang w:val="en-AU"/>
        </w:rPr>
        <w:t xml:space="preserve"> makes it subject to selection bias. The</w:t>
      </w:r>
      <w:r w:rsidR="003423A5">
        <w:rPr>
          <w:rFonts w:ascii="Arial" w:hAnsi="Arial" w:cs="Arial"/>
          <w:lang w:val="en-AU"/>
        </w:rPr>
        <w:t xml:space="preserve"> </w:t>
      </w:r>
      <w:r w:rsidRPr="002D3EAB">
        <w:rPr>
          <w:rFonts w:ascii="Arial" w:hAnsi="Arial" w:cs="Arial"/>
          <w:lang w:val="en-AU"/>
        </w:rPr>
        <w:t>DAA group that did not receive TXA, for example, had a</w:t>
      </w:r>
      <w:r w:rsidR="003423A5">
        <w:rPr>
          <w:rFonts w:ascii="Arial" w:hAnsi="Arial" w:cs="Arial"/>
          <w:lang w:val="en-AU"/>
        </w:rPr>
        <w:t xml:space="preserve"> </w:t>
      </w:r>
      <w:r w:rsidRPr="002D3EAB">
        <w:rPr>
          <w:rFonts w:ascii="Arial" w:hAnsi="Arial" w:cs="Arial"/>
          <w:lang w:val="en-AU"/>
        </w:rPr>
        <w:t>significantly greater proportion of males and consequently</w:t>
      </w:r>
      <w:r w:rsidR="003423A5">
        <w:rPr>
          <w:rFonts w:ascii="Arial" w:hAnsi="Arial" w:cs="Arial"/>
          <w:lang w:val="en-AU"/>
        </w:rPr>
        <w:t xml:space="preserve"> </w:t>
      </w:r>
      <w:r w:rsidRPr="002D3EAB">
        <w:rPr>
          <w:rFonts w:ascii="Arial" w:hAnsi="Arial" w:cs="Arial"/>
          <w:lang w:val="en-AU"/>
        </w:rPr>
        <w:t>higher mean preoperative haemoglobin levels, which may</w:t>
      </w:r>
    </w:p>
    <w:p w14:paraId="59BD3A63" w14:textId="7E52C7E9" w:rsidR="00D4403B" w:rsidRDefault="00D4403B" w:rsidP="002D3EAB">
      <w:pPr>
        <w:spacing w:line="480" w:lineRule="auto"/>
        <w:rPr>
          <w:rFonts w:ascii="Arial" w:hAnsi="Arial" w:cs="Arial"/>
          <w:lang w:val="en-AU"/>
        </w:rPr>
      </w:pPr>
      <w:r w:rsidRPr="002D3EAB">
        <w:rPr>
          <w:rFonts w:ascii="Arial" w:hAnsi="Arial" w:cs="Arial"/>
          <w:lang w:val="en-AU"/>
        </w:rPr>
        <w:t>have introduced bias when transfusion is considered postoperatively.</w:t>
      </w:r>
    </w:p>
    <w:p w14:paraId="48CC370C" w14:textId="77777777" w:rsidR="003423A5" w:rsidRPr="002D3EAB" w:rsidRDefault="003423A5" w:rsidP="002D3EAB">
      <w:pPr>
        <w:spacing w:line="480" w:lineRule="auto"/>
        <w:rPr>
          <w:rFonts w:ascii="Arial" w:hAnsi="Arial" w:cs="Arial"/>
          <w:lang w:val="en-AU"/>
        </w:rPr>
      </w:pPr>
    </w:p>
    <w:p w14:paraId="404B562C" w14:textId="450458D2" w:rsidR="00D4403B" w:rsidRPr="002D3EAB" w:rsidRDefault="00D4403B" w:rsidP="003423A5">
      <w:pPr>
        <w:spacing w:line="480" w:lineRule="auto"/>
        <w:rPr>
          <w:rFonts w:ascii="Arial" w:hAnsi="Arial" w:cs="Arial"/>
          <w:lang w:val="en-AU"/>
        </w:rPr>
      </w:pPr>
      <w:r w:rsidRPr="002D3EAB">
        <w:rPr>
          <w:rFonts w:ascii="Arial" w:hAnsi="Arial" w:cs="Arial"/>
          <w:lang w:val="en-AU"/>
        </w:rPr>
        <w:t>The timing of administration of TXA prior to</w:t>
      </w:r>
      <w:r w:rsidR="003423A5">
        <w:rPr>
          <w:rFonts w:ascii="Arial" w:hAnsi="Arial" w:cs="Arial"/>
          <w:lang w:val="en-AU"/>
        </w:rPr>
        <w:t xml:space="preserve"> </w:t>
      </w:r>
      <w:r w:rsidRPr="002D3EAB">
        <w:rPr>
          <w:rFonts w:ascii="Arial" w:hAnsi="Arial" w:cs="Arial"/>
          <w:lang w:val="en-AU"/>
        </w:rPr>
        <w:t>skin incision was also not recorded which may have influenced</w:t>
      </w:r>
      <w:r w:rsidR="003423A5">
        <w:rPr>
          <w:rFonts w:ascii="Arial" w:hAnsi="Arial" w:cs="Arial"/>
          <w:lang w:val="en-AU"/>
        </w:rPr>
        <w:t xml:space="preserve"> </w:t>
      </w:r>
      <w:r w:rsidRPr="002D3EAB">
        <w:rPr>
          <w:rFonts w:ascii="Arial" w:hAnsi="Arial" w:cs="Arial"/>
          <w:lang w:val="en-AU"/>
        </w:rPr>
        <w:t>results. It is also possible that hospital practices may</w:t>
      </w:r>
      <w:r w:rsidR="003423A5">
        <w:rPr>
          <w:rFonts w:ascii="Arial" w:hAnsi="Arial" w:cs="Arial"/>
          <w:lang w:val="en-AU"/>
        </w:rPr>
        <w:t xml:space="preserve"> </w:t>
      </w:r>
      <w:r w:rsidRPr="002D3EAB">
        <w:rPr>
          <w:rFonts w:ascii="Arial" w:hAnsi="Arial" w:cs="Arial"/>
          <w:lang w:val="en-AU"/>
        </w:rPr>
        <w:t>have changed over time influencing the outcomes of more</w:t>
      </w:r>
      <w:r w:rsidR="003423A5">
        <w:rPr>
          <w:rFonts w:ascii="Arial" w:hAnsi="Arial" w:cs="Arial"/>
          <w:lang w:val="en-AU"/>
        </w:rPr>
        <w:t xml:space="preserve"> </w:t>
      </w:r>
      <w:r w:rsidRPr="002D3EAB">
        <w:rPr>
          <w:rFonts w:ascii="Arial" w:hAnsi="Arial" w:cs="Arial"/>
          <w:lang w:val="en-AU"/>
        </w:rPr>
        <w:t>recent cases when TXA was commonly used. Finally,</w:t>
      </w:r>
      <w:r w:rsidR="003423A5">
        <w:rPr>
          <w:rFonts w:ascii="Arial" w:hAnsi="Arial" w:cs="Arial"/>
          <w:lang w:val="en-AU"/>
        </w:rPr>
        <w:t xml:space="preserve"> </w:t>
      </w:r>
      <w:r w:rsidRPr="002D3EAB">
        <w:rPr>
          <w:rFonts w:ascii="Arial" w:hAnsi="Arial" w:cs="Arial"/>
          <w:lang w:val="en-AU"/>
        </w:rPr>
        <w:t xml:space="preserve">although larger than many other studies in this area, </w:t>
      </w:r>
      <w:proofErr w:type="gramStart"/>
      <w:r w:rsidRPr="002D3EAB">
        <w:rPr>
          <w:rFonts w:ascii="Arial" w:hAnsi="Arial" w:cs="Arial"/>
          <w:lang w:val="en-AU"/>
        </w:rPr>
        <w:t>our</w:t>
      </w:r>
      <w:proofErr w:type="gramEnd"/>
    </w:p>
    <w:p w14:paraId="25BC1EBD" w14:textId="2D83B768" w:rsidR="00D4403B" w:rsidRPr="00B95BB1" w:rsidRDefault="00D4403B" w:rsidP="003423A5">
      <w:pPr>
        <w:spacing w:line="480" w:lineRule="auto"/>
        <w:rPr>
          <w:rFonts w:ascii="Arial" w:hAnsi="Arial" w:cs="Arial"/>
          <w:lang w:val="en-AU"/>
        </w:rPr>
      </w:pPr>
      <w:r w:rsidRPr="002D3EAB">
        <w:rPr>
          <w:rFonts w:ascii="Arial" w:hAnsi="Arial" w:cs="Arial"/>
          <w:lang w:val="en-AU"/>
        </w:rPr>
        <w:t>study sample size is relatively small and larger studies are</w:t>
      </w:r>
      <w:r w:rsidR="003423A5">
        <w:rPr>
          <w:rFonts w:ascii="Arial" w:hAnsi="Arial" w:cs="Arial"/>
          <w:lang w:val="en-AU"/>
        </w:rPr>
        <w:t xml:space="preserve"> </w:t>
      </w:r>
      <w:proofErr w:type="spellStart"/>
      <w:r w:rsidRPr="002D3EAB">
        <w:rPr>
          <w:rFonts w:ascii="Arial" w:hAnsi="Arial" w:cs="Arial"/>
          <w:lang w:val="en-AU"/>
        </w:rPr>
        <w:t>equired</w:t>
      </w:r>
      <w:proofErr w:type="spellEnd"/>
      <w:r w:rsidRPr="002D3EAB">
        <w:rPr>
          <w:rFonts w:ascii="Arial" w:hAnsi="Arial" w:cs="Arial"/>
          <w:lang w:val="en-AU"/>
        </w:rPr>
        <w:t xml:space="preserve"> to validate our findings.</w:t>
      </w:r>
    </w:p>
    <w:p w14:paraId="1C7D30EB" w14:textId="77777777" w:rsidR="00387F3D" w:rsidRPr="00B95BB1" w:rsidRDefault="00387F3D" w:rsidP="009A7461">
      <w:pPr>
        <w:spacing w:line="480" w:lineRule="auto"/>
        <w:outlineLvl w:val="0"/>
        <w:rPr>
          <w:rFonts w:ascii="Arial" w:hAnsi="Arial" w:cs="Arial"/>
          <w:lang w:val="en-AU"/>
        </w:rPr>
      </w:pPr>
      <w:r w:rsidRPr="00B95BB1">
        <w:rPr>
          <w:rFonts w:ascii="Arial" w:hAnsi="Arial" w:cs="Arial"/>
          <w:b/>
          <w:lang w:val="en-AU"/>
        </w:rPr>
        <w:lastRenderedPageBreak/>
        <w:t>CONCLUSION</w:t>
      </w:r>
    </w:p>
    <w:p w14:paraId="1058BD8A" w14:textId="43C18C43" w:rsidR="00216609" w:rsidRPr="009A7461" w:rsidRDefault="002D3EAB" w:rsidP="003423A5">
      <w:pPr>
        <w:spacing w:line="480" w:lineRule="auto"/>
        <w:rPr>
          <w:rFonts w:cs="Arial"/>
          <w:sz w:val="22"/>
          <w:szCs w:val="22"/>
          <w:lang w:val="en-AU"/>
        </w:rPr>
      </w:pPr>
      <w:r w:rsidRPr="003423A5">
        <w:rPr>
          <w:rFonts w:ascii="Arial" w:hAnsi="Arial" w:cs="Arial"/>
          <w:lang w:val="en-AU"/>
        </w:rPr>
        <w:t>We have provided evidence to support the use of TXA to</w:t>
      </w:r>
      <w:r w:rsidR="003423A5">
        <w:rPr>
          <w:rFonts w:ascii="Arial" w:hAnsi="Arial" w:cs="Arial"/>
          <w:lang w:val="en-AU"/>
        </w:rPr>
        <w:t xml:space="preserve"> </w:t>
      </w:r>
      <w:r w:rsidRPr="003423A5">
        <w:rPr>
          <w:rFonts w:ascii="Arial" w:hAnsi="Arial" w:cs="Arial"/>
          <w:lang w:val="en-AU"/>
        </w:rPr>
        <w:t>reduce blood transfusion requirements in DAA THA. This</w:t>
      </w:r>
      <w:r w:rsidR="003423A5">
        <w:rPr>
          <w:rFonts w:ascii="Arial" w:hAnsi="Arial" w:cs="Arial"/>
          <w:lang w:val="en-AU"/>
        </w:rPr>
        <w:t xml:space="preserve"> </w:t>
      </w:r>
      <w:r w:rsidRPr="003423A5">
        <w:rPr>
          <w:rFonts w:ascii="Arial" w:hAnsi="Arial" w:cs="Arial"/>
          <w:lang w:val="en-AU"/>
        </w:rPr>
        <w:t>s the 1st study to demonstrate a significant reduction in</w:t>
      </w:r>
      <w:r w:rsidR="003423A5">
        <w:rPr>
          <w:rFonts w:ascii="Arial" w:hAnsi="Arial" w:cs="Arial"/>
          <w:lang w:val="en-AU"/>
        </w:rPr>
        <w:t xml:space="preserve"> </w:t>
      </w:r>
      <w:r w:rsidRPr="003423A5">
        <w:rPr>
          <w:rFonts w:ascii="Arial" w:hAnsi="Arial" w:cs="Arial"/>
          <w:lang w:val="en-AU"/>
        </w:rPr>
        <w:t>blood transfusion requirements when directly analysing</w:t>
      </w:r>
      <w:r w:rsidR="003423A5">
        <w:rPr>
          <w:rFonts w:ascii="Arial" w:hAnsi="Arial" w:cs="Arial"/>
          <w:lang w:val="en-AU"/>
        </w:rPr>
        <w:t xml:space="preserve"> </w:t>
      </w:r>
      <w:r w:rsidRPr="003423A5">
        <w:rPr>
          <w:rFonts w:ascii="Arial" w:hAnsi="Arial" w:cs="Arial"/>
          <w:lang w:val="en-AU"/>
        </w:rPr>
        <w:t>intravenous TXA use in the anterior approach to THA.</w:t>
      </w:r>
      <w:r w:rsidR="003423A5">
        <w:rPr>
          <w:rFonts w:ascii="Arial" w:hAnsi="Arial" w:cs="Arial"/>
          <w:lang w:val="en-AU"/>
        </w:rPr>
        <w:t xml:space="preserve"> </w:t>
      </w:r>
      <w:r w:rsidRPr="003423A5">
        <w:rPr>
          <w:rFonts w:ascii="Arial" w:hAnsi="Arial" w:cs="Arial"/>
          <w:lang w:val="en-AU"/>
        </w:rPr>
        <w:t xml:space="preserve">Further study with a prospective, randomised design that includes </w:t>
      </w:r>
      <w:proofErr w:type="gramStart"/>
      <w:r w:rsidRPr="003423A5">
        <w:rPr>
          <w:rFonts w:ascii="Arial" w:hAnsi="Arial" w:cs="Arial"/>
          <w:lang w:val="en-AU"/>
        </w:rPr>
        <w:t>a large number of</w:t>
      </w:r>
      <w:proofErr w:type="gramEnd"/>
      <w:r w:rsidRPr="003423A5">
        <w:rPr>
          <w:rFonts w:ascii="Arial" w:hAnsi="Arial" w:cs="Arial"/>
          <w:lang w:val="en-AU"/>
        </w:rPr>
        <w:t xml:space="preserve"> patients is required to validate</w:t>
      </w:r>
      <w:r w:rsidR="003423A5">
        <w:rPr>
          <w:rFonts w:ascii="Arial" w:hAnsi="Arial" w:cs="Arial"/>
          <w:lang w:val="en-AU"/>
        </w:rPr>
        <w:t xml:space="preserve"> </w:t>
      </w:r>
      <w:r w:rsidRPr="003423A5">
        <w:rPr>
          <w:rFonts w:ascii="Arial" w:hAnsi="Arial" w:cs="Arial"/>
          <w:lang w:val="en-AU"/>
        </w:rPr>
        <w:t>this observation.</w:t>
      </w:r>
      <w:r w:rsidR="009A7461">
        <w:rPr>
          <w:rFonts w:cs="Arial"/>
          <w:lang w:val="en-AU"/>
        </w:rPr>
        <w:br w:type="page"/>
      </w:r>
    </w:p>
    <w:p w14:paraId="65ED4F0C" w14:textId="74317746" w:rsidR="00AC4CAC" w:rsidRPr="00B95BB1" w:rsidRDefault="0004127B" w:rsidP="009A7461">
      <w:pPr>
        <w:spacing w:line="480" w:lineRule="auto"/>
        <w:outlineLvl w:val="0"/>
        <w:rPr>
          <w:rFonts w:ascii="Arial" w:hAnsi="Arial" w:cs="Arial"/>
          <w:lang w:val="en-AU"/>
        </w:rPr>
      </w:pPr>
      <w:r w:rsidRPr="00B95BB1">
        <w:rPr>
          <w:rFonts w:ascii="Arial" w:hAnsi="Arial" w:cs="Arial"/>
          <w:b/>
          <w:lang w:val="en-AU"/>
        </w:rPr>
        <w:lastRenderedPageBreak/>
        <w:t>REFERENCES</w:t>
      </w:r>
    </w:p>
    <w:p w14:paraId="5BD9EB9C" w14:textId="2E6A1CFF" w:rsidR="003423A5" w:rsidRPr="00EC512A" w:rsidRDefault="003423A5" w:rsidP="003423A5">
      <w:pPr>
        <w:spacing w:line="480" w:lineRule="auto"/>
        <w:rPr>
          <w:rFonts w:ascii="Arial" w:hAnsi="Arial" w:cs="Arial"/>
          <w:sz w:val="22"/>
          <w:szCs w:val="22"/>
          <w:lang w:val="en-AU"/>
        </w:rPr>
      </w:pPr>
      <w:r w:rsidRPr="00EC512A">
        <w:rPr>
          <w:rFonts w:ascii="Arial" w:hAnsi="Arial" w:cs="Arial"/>
          <w:sz w:val="22"/>
          <w:szCs w:val="22"/>
          <w:lang w:val="en-AU"/>
        </w:rPr>
        <w:t xml:space="preserve">1. </w:t>
      </w:r>
      <w:proofErr w:type="spellStart"/>
      <w:r w:rsidRPr="00EC512A">
        <w:rPr>
          <w:rFonts w:ascii="Arial" w:hAnsi="Arial" w:cs="Arial"/>
          <w:sz w:val="22"/>
          <w:szCs w:val="22"/>
          <w:lang w:val="en-AU"/>
        </w:rPr>
        <w:t>Sukeik</w:t>
      </w:r>
      <w:proofErr w:type="spellEnd"/>
      <w:r w:rsidRPr="00EC512A">
        <w:rPr>
          <w:rFonts w:ascii="Arial" w:hAnsi="Arial" w:cs="Arial"/>
          <w:sz w:val="22"/>
          <w:szCs w:val="22"/>
          <w:lang w:val="en-AU"/>
        </w:rPr>
        <w:t xml:space="preserve"> M, </w:t>
      </w:r>
      <w:proofErr w:type="spellStart"/>
      <w:r w:rsidRPr="00EC512A">
        <w:rPr>
          <w:rFonts w:ascii="Arial" w:hAnsi="Arial" w:cs="Arial"/>
          <w:sz w:val="22"/>
          <w:szCs w:val="22"/>
          <w:lang w:val="en-AU"/>
        </w:rPr>
        <w:t>Alshruda</w:t>
      </w:r>
      <w:proofErr w:type="spellEnd"/>
      <w:r w:rsidRPr="00EC512A">
        <w:rPr>
          <w:rFonts w:ascii="Arial" w:hAnsi="Arial" w:cs="Arial"/>
          <w:sz w:val="22"/>
          <w:szCs w:val="22"/>
          <w:lang w:val="en-AU"/>
        </w:rPr>
        <w:t xml:space="preserve"> S, Haddad F, et al. Systematic review and meta-analysis of the use of tranexamic acid in total hip replacement. J Bone Joint Surg Br 2011; 93: 39–46.</w:t>
      </w:r>
    </w:p>
    <w:p w14:paraId="66660958" w14:textId="12A65BE0"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2. Johansson T, </w:t>
      </w:r>
      <w:proofErr w:type="spellStart"/>
      <w:r w:rsidRPr="00EC512A">
        <w:rPr>
          <w:rFonts w:ascii="Arial" w:hAnsi="Arial" w:cs="Arial"/>
          <w:sz w:val="22"/>
          <w:szCs w:val="22"/>
          <w:lang w:val="en-AU"/>
        </w:rPr>
        <w:t>Pettersson</w:t>
      </w:r>
      <w:proofErr w:type="spellEnd"/>
      <w:r w:rsidRPr="00EC512A">
        <w:rPr>
          <w:rFonts w:ascii="Arial" w:hAnsi="Arial" w:cs="Arial"/>
          <w:sz w:val="22"/>
          <w:szCs w:val="22"/>
          <w:lang w:val="en-AU"/>
        </w:rPr>
        <w:t xml:space="preserve"> L and </w:t>
      </w:r>
      <w:proofErr w:type="spellStart"/>
      <w:r w:rsidRPr="00EC512A">
        <w:rPr>
          <w:rFonts w:ascii="Arial" w:hAnsi="Arial" w:cs="Arial"/>
          <w:sz w:val="22"/>
          <w:szCs w:val="22"/>
          <w:lang w:val="en-AU"/>
        </w:rPr>
        <w:t>Lisander</w:t>
      </w:r>
      <w:proofErr w:type="spellEnd"/>
      <w:r w:rsidRPr="00EC512A">
        <w:rPr>
          <w:rFonts w:ascii="Arial" w:hAnsi="Arial" w:cs="Arial"/>
          <w:sz w:val="22"/>
          <w:szCs w:val="22"/>
          <w:lang w:val="en-AU"/>
        </w:rPr>
        <w:t xml:space="preserve"> B. Tranexamic acid in total hip arthroplasty saves blood and money. Acta</w:t>
      </w:r>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Orthopaedica</w:t>
      </w:r>
      <w:proofErr w:type="spellEnd"/>
      <w:r w:rsidRPr="00EC512A">
        <w:rPr>
          <w:rFonts w:ascii="Arial" w:hAnsi="Arial" w:cs="Arial"/>
          <w:sz w:val="22"/>
          <w:szCs w:val="22"/>
          <w:lang w:val="en-AU"/>
        </w:rPr>
        <w:t xml:space="preserve"> 2005; 76: 314–319.</w:t>
      </w:r>
    </w:p>
    <w:p w14:paraId="50348F91" w14:textId="2E3A0996"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3. </w:t>
      </w:r>
      <w:proofErr w:type="spellStart"/>
      <w:r w:rsidRPr="00EC512A">
        <w:rPr>
          <w:rFonts w:ascii="Arial" w:hAnsi="Arial" w:cs="Arial"/>
          <w:sz w:val="22"/>
          <w:szCs w:val="22"/>
          <w:lang w:val="en-AU"/>
        </w:rPr>
        <w:t>Rajesparan</w:t>
      </w:r>
      <w:proofErr w:type="spellEnd"/>
      <w:r w:rsidRPr="00EC512A">
        <w:rPr>
          <w:rFonts w:ascii="Arial" w:hAnsi="Arial" w:cs="Arial"/>
          <w:sz w:val="22"/>
          <w:szCs w:val="22"/>
          <w:lang w:val="en-AU"/>
        </w:rPr>
        <w:t xml:space="preserve"> K, </w:t>
      </w:r>
      <w:proofErr w:type="spellStart"/>
      <w:r w:rsidRPr="00EC512A">
        <w:rPr>
          <w:rFonts w:ascii="Arial" w:hAnsi="Arial" w:cs="Arial"/>
          <w:sz w:val="22"/>
          <w:szCs w:val="22"/>
          <w:lang w:val="en-AU"/>
        </w:rPr>
        <w:t>Biant</w:t>
      </w:r>
      <w:proofErr w:type="spellEnd"/>
      <w:r w:rsidRPr="00EC512A">
        <w:rPr>
          <w:rFonts w:ascii="Arial" w:hAnsi="Arial" w:cs="Arial"/>
          <w:sz w:val="22"/>
          <w:szCs w:val="22"/>
          <w:lang w:val="en-AU"/>
        </w:rPr>
        <w:t xml:space="preserve"> L, Ahmad M, et al. The effect on an</w:t>
      </w:r>
      <w:r w:rsidR="00E8330D" w:rsidRPr="00EC512A">
        <w:rPr>
          <w:rFonts w:ascii="Arial" w:hAnsi="Arial" w:cs="Arial"/>
          <w:sz w:val="22"/>
          <w:szCs w:val="22"/>
          <w:lang w:val="en-AU"/>
        </w:rPr>
        <w:t xml:space="preserve"> </w:t>
      </w:r>
      <w:r w:rsidRPr="00EC512A">
        <w:rPr>
          <w:rFonts w:ascii="Arial" w:hAnsi="Arial" w:cs="Arial"/>
          <w:sz w:val="22"/>
          <w:szCs w:val="22"/>
          <w:lang w:val="en-AU"/>
        </w:rPr>
        <w:t>intravenous bolus of tranexamic acid on blood loss in total</w:t>
      </w:r>
      <w:r w:rsidR="00E8330D" w:rsidRPr="00EC512A">
        <w:rPr>
          <w:rFonts w:ascii="Arial" w:hAnsi="Arial" w:cs="Arial"/>
          <w:sz w:val="22"/>
          <w:szCs w:val="22"/>
          <w:lang w:val="en-AU"/>
        </w:rPr>
        <w:t xml:space="preserve"> </w:t>
      </w:r>
      <w:r w:rsidRPr="00EC512A">
        <w:rPr>
          <w:rFonts w:ascii="Arial" w:hAnsi="Arial" w:cs="Arial"/>
          <w:sz w:val="22"/>
          <w:szCs w:val="22"/>
          <w:lang w:val="en-AU"/>
        </w:rPr>
        <w:t>hip replacement. J Bone Joint Surg Br 2009; 91: 776–783.</w:t>
      </w:r>
    </w:p>
    <w:p w14:paraId="5A98DE65" w14:textId="5C10BD9C"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4. Benoni G, </w:t>
      </w:r>
      <w:proofErr w:type="spellStart"/>
      <w:r w:rsidRPr="00EC512A">
        <w:rPr>
          <w:rFonts w:ascii="Arial" w:hAnsi="Arial" w:cs="Arial"/>
          <w:sz w:val="22"/>
          <w:szCs w:val="22"/>
          <w:lang w:val="en-AU"/>
        </w:rPr>
        <w:t>Fredin</w:t>
      </w:r>
      <w:proofErr w:type="spellEnd"/>
      <w:r w:rsidRPr="00EC512A">
        <w:rPr>
          <w:rFonts w:ascii="Arial" w:hAnsi="Arial" w:cs="Arial"/>
          <w:sz w:val="22"/>
          <w:szCs w:val="22"/>
          <w:lang w:val="en-AU"/>
        </w:rPr>
        <w:t xml:space="preserve"> H, </w:t>
      </w:r>
      <w:proofErr w:type="spellStart"/>
      <w:r w:rsidRPr="00EC512A">
        <w:rPr>
          <w:rFonts w:ascii="Arial" w:hAnsi="Arial" w:cs="Arial"/>
          <w:sz w:val="22"/>
          <w:szCs w:val="22"/>
          <w:lang w:val="en-AU"/>
        </w:rPr>
        <w:t>Knebel</w:t>
      </w:r>
      <w:proofErr w:type="spellEnd"/>
      <w:r w:rsidRPr="00EC512A">
        <w:rPr>
          <w:rFonts w:ascii="Arial" w:hAnsi="Arial" w:cs="Arial"/>
          <w:sz w:val="22"/>
          <w:szCs w:val="22"/>
          <w:lang w:val="en-AU"/>
        </w:rPr>
        <w:t xml:space="preserve"> R, et al. Blood conservation</w:t>
      </w:r>
      <w:r w:rsidR="00E8330D" w:rsidRPr="00EC512A">
        <w:rPr>
          <w:rFonts w:ascii="Arial" w:hAnsi="Arial" w:cs="Arial"/>
          <w:sz w:val="22"/>
          <w:szCs w:val="22"/>
          <w:lang w:val="en-AU"/>
        </w:rPr>
        <w:t xml:space="preserve"> </w:t>
      </w:r>
      <w:r w:rsidRPr="00EC512A">
        <w:rPr>
          <w:rFonts w:ascii="Arial" w:hAnsi="Arial" w:cs="Arial"/>
          <w:sz w:val="22"/>
          <w:szCs w:val="22"/>
          <w:lang w:val="en-AU"/>
        </w:rPr>
        <w:t>with tranexamic acid in total hip arthroplasty: a</w:t>
      </w:r>
      <w:r w:rsidR="00E8330D" w:rsidRPr="00EC512A">
        <w:rPr>
          <w:rFonts w:ascii="Arial" w:hAnsi="Arial" w:cs="Arial"/>
          <w:sz w:val="22"/>
          <w:szCs w:val="22"/>
          <w:lang w:val="en-AU"/>
        </w:rPr>
        <w:t xml:space="preserve"> </w:t>
      </w:r>
      <w:r w:rsidRPr="00EC512A">
        <w:rPr>
          <w:rFonts w:ascii="Arial" w:hAnsi="Arial" w:cs="Arial"/>
          <w:sz w:val="22"/>
          <w:szCs w:val="22"/>
          <w:lang w:val="en-AU"/>
        </w:rPr>
        <w:t>randomized,</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double-blind study in 40 primary operations. Acta </w:t>
      </w:r>
      <w:proofErr w:type="spellStart"/>
      <w:r w:rsidRPr="00EC512A">
        <w:rPr>
          <w:rFonts w:ascii="Arial" w:hAnsi="Arial" w:cs="Arial"/>
          <w:sz w:val="22"/>
          <w:szCs w:val="22"/>
          <w:lang w:val="en-AU"/>
        </w:rPr>
        <w:t>Orthop</w:t>
      </w:r>
      <w:proofErr w:type="spellEnd"/>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Scand</w:t>
      </w:r>
      <w:proofErr w:type="spellEnd"/>
      <w:r w:rsidRPr="00EC512A">
        <w:rPr>
          <w:rFonts w:ascii="Arial" w:hAnsi="Arial" w:cs="Arial"/>
          <w:sz w:val="22"/>
          <w:szCs w:val="22"/>
          <w:lang w:val="en-AU"/>
        </w:rPr>
        <w:t xml:space="preserve"> 2001; 72: 442–448.</w:t>
      </w:r>
    </w:p>
    <w:p w14:paraId="08F8A917" w14:textId="5660322C"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5. Husted H, Holm G and Jacobsen S. Predictors of length of</w:t>
      </w:r>
      <w:r w:rsidR="00E8330D" w:rsidRPr="00EC512A">
        <w:rPr>
          <w:rFonts w:ascii="Arial" w:hAnsi="Arial" w:cs="Arial"/>
          <w:sz w:val="22"/>
          <w:szCs w:val="22"/>
          <w:lang w:val="en-AU"/>
        </w:rPr>
        <w:t xml:space="preserve"> </w:t>
      </w:r>
      <w:r w:rsidRPr="00EC512A">
        <w:rPr>
          <w:rFonts w:ascii="Arial" w:hAnsi="Arial" w:cs="Arial"/>
          <w:sz w:val="22"/>
          <w:szCs w:val="22"/>
          <w:lang w:val="en-AU"/>
        </w:rPr>
        <w:t>stay and patient satisfaction after hip and knee replacement</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surgery: fast-track experience in 712 patients. Acta </w:t>
      </w:r>
      <w:proofErr w:type="spellStart"/>
      <w:r w:rsidRPr="00EC512A">
        <w:rPr>
          <w:rFonts w:ascii="Arial" w:hAnsi="Arial" w:cs="Arial"/>
          <w:sz w:val="22"/>
          <w:szCs w:val="22"/>
          <w:lang w:val="en-AU"/>
        </w:rPr>
        <w:t>Orthop</w:t>
      </w:r>
      <w:proofErr w:type="spellEnd"/>
      <w:r w:rsidR="00E8330D" w:rsidRPr="00EC512A">
        <w:rPr>
          <w:rFonts w:ascii="Arial" w:hAnsi="Arial" w:cs="Arial"/>
          <w:sz w:val="22"/>
          <w:szCs w:val="22"/>
          <w:lang w:val="en-AU"/>
        </w:rPr>
        <w:t xml:space="preserve"> </w:t>
      </w:r>
      <w:r w:rsidRPr="00EC512A">
        <w:rPr>
          <w:rFonts w:ascii="Arial" w:hAnsi="Arial" w:cs="Arial"/>
          <w:sz w:val="22"/>
          <w:szCs w:val="22"/>
          <w:lang w:val="en-AU"/>
        </w:rPr>
        <w:t>2008; 79: 168–173.</w:t>
      </w:r>
    </w:p>
    <w:p w14:paraId="242BB459" w14:textId="65D683AE"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6. </w:t>
      </w:r>
      <w:proofErr w:type="spellStart"/>
      <w:r w:rsidRPr="00EC512A">
        <w:rPr>
          <w:rFonts w:ascii="Arial" w:hAnsi="Arial" w:cs="Arial"/>
          <w:sz w:val="22"/>
          <w:szCs w:val="22"/>
          <w:lang w:val="en-AU"/>
        </w:rPr>
        <w:t>Ido</w:t>
      </w:r>
      <w:proofErr w:type="spellEnd"/>
      <w:r w:rsidRPr="00EC512A">
        <w:rPr>
          <w:rFonts w:ascii="Arial" w:hAnsi="Arial" w:cs="Arial"/>
          <w:sz w:val="22"/>
          <w:szCs w:val="22"/>
          <w:lang w:val="en-AU"/>
        </w:rPr>
        <w:t xml:space="preserve"> K, Neo M, Asada Y, et al. Reduction of blood loss using</w:t>
      </w:r>
      <w:r w:rsidR="00E8330D" w:rsidRPr="00EC512A">
        <w:rPr>
          <w:rFonts w:ascii="Arial" w:hAnsi="Arial" w:cs="Arial"/>
          <w:sz w:val="22"/>
          <w:szCs w:val="22"/>
          <w:lang w:val="en-AU"/>
        </w:rPr>
        <w:t xml:space="preserve"> </w:t>
      </w:r>
      <w:r w:rsidRPr="00EC512A">
        <w:rPr>
          <w:rFonts w:ascii="Arial" w:hAnsi="Arial" w:cs="Arial"/>
          <w:sz w:val="22"/>
          <w:szCs w:val="22"/>
          <w:lang w:val="en-AU"/>
        </w:rPr>
        <w:t>tranexamic acid in total knee and hip</w:t>
      </w:r>
      <w:r w:rsidR="00E8330D" w:rsidRPr="00EC512A">
        <w:rPr>
          <w:rFonts w:ascii="Arial" w:hAnsi="Arial" w:cs="Arial"/>
          <w:sz w:val="22"/>
          <w:szCs w:val="22"/>
          <w:lang w:val="en-AU"/>
        </w:rPr>
        <w:t xml:space="preserve"> </w:t>
      </w:r>
      <w:r w:rsidRPr="00EC512A">
        <w:rPr>
          <w:rFonts w:ascii="Arial" w:hAnsi="Arial" w:cs="Arial"/>
          <w:sz w:val="22"/>
          <w:szCs w:val="22"/>
          <w:lang w:val="en-AU"/>
        </w:rPr>
        <w:t>arthroplasties. Arch</w:t>
      </w:r>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Orthop</w:t>
      </w:r>
      <w:proofErr w:type="spellEnd"/>
      <w:r w:rsidRPr="00EC512A">
        <w:rPr>
          <w:rFonts w:ascii="Arial" w:hAnsi="Arial" w:cs="Arial"/>
          <w:sz w:val="22"/>
          <w:szCs w:val="22"/>
          <w:lang w:val="en-AU"/>
        </w:rPr>
        <w:t xml:space="preserve"> Trauma Surg 2000; 120: 518–520.</w:t>
      </w:r>
    </w:p>
    <w:p w14:paraId="28EAE821" w14:textId="62FC99E7"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7. Lemay E, </w:t>
      </w:r>
      <w:proofErr w:type="spellStart"/>
      <w:r w:rsidRPr="00EC512A">
        <w:rPr>
          <w:rFonts w:ascii="Arial" w:hAnsi="Arial" w:cs="Arial"/>
          <w:sz w:val="22"/>
          <w:szCs w:val="22"/>
          <w:lang w:val="en-AU"/>
        </w:rPr>
        <w:t>Guay</w:t>
      </w:r>
      <w:proofErr w:type="spellEnd"/>
      <w:r w:rsidRPr="00EC512A">
        <w:rPr>
          <w:rFonts w:ascii="Arial" w:hAnsi="Arial" w:cs="Arial"/>
          <w:sz w:val="22"/>
          <w:szCs w:val="22"/>
          <w:lang w:val="en-AU"/>
        </w:rPr>
        <w:t xml:space="preserve"> J, </w:t>
      </w:r>
      <w:proofErr w:type="spellStart"/>
      <w:r w:rsidRPr="00EC512A">
        <w:rPr>
          <w:rFonts w:ascii="Arial" w:hAnsi="Arial" w:cs="Arial"/>
          <w:sz w:val="22"/>
          <w:szCs w:val="22"/>
          <w:lang w:val="en-AU"/>
        </w:rPr>
        <w:t>Côté</w:t>
      </w:r>
      <w:proofErr w:type="spellEnd"/>
      <w:r w:rsidRPr="00EC512A">
        <w:rPr>
          <w:rFonts w:ascii="Arial" w:hAnsi="Arial" w:cs="Arial"/>
          <w:sz w:val="22"/>
          <w:szCs w:val="22"/>
          <w:lang w:val="en-AU"/>
        </w:rPr>
        <w:t xml:space="preserve"> C, et al. Tranexamic acid reduces</w:t>
      </w:r>
      <w:r w:rsidR="00E8330D" w:rsidRPr="00EC512A">
        <w:rPr>
          <w:rFonts w:ascii="Arial" w:hAnsi="Arial" w:cs="Arial"/>
          <w:sz w:val="22"/>
          <w:szCs w:val="22"/>
          <w:lang w:val="en-AU"/>
        </w:rPr>
        <w:t xml:space="preserve"> </w:t>
      </w:r>
      <w:r w:rsidRPr="00EC512A">
        <w:rPr>
          <w:rFonts w:ascii="Arial" w:hAnsi="Arial" w:cs="Arial"/>
          <w:sz w:val="22"/>
          <w:szCs w:val="22"/>
          <w:lang w:val="en-AU"/>
        </w:rPr>
        <w:t>the need for allogenic red blood cell transfusions in patients</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undergoing total hip replacement. Can J </w:t>
      </w:r>
      <w:proofErr w:type="spellStart"/>
      <w:r w:rsidRPr="00EC512A">
        <w:rPr>
          <w:rFonts w:ascii="Arial" w:hAnsi="Arial" w:cs="Arial"/>
          <w:sz w:val="22"/>
          <w:szCs w:val="22"/>
          <w:lang w:val="en-AU"/>
        </w:rPr>
        <w:t>Anaesth</w:t>
      </w:r>
      <w:proofErr w:type="spellEnd"/>
      <w:r w:rsidRPr="00EC512A">
        <w:rPr>
          <w:rFonts w:ascii="Arial" w:hAnsi="Arial" w:cs="Arial"/>
          <w:sz w:val="22"/>
          <w:szCs w:val="22"/>
          <w:lang w:val="en-AU"/>
        </w:rPr>
        <w:t xml:space="preserve"> 2004; 51:</w:t>
      </w:r>
      <w:r w:rsidR="00E8330D" w:rsidRPr="00EC512A">
        <w:rPr>
          <w:rFonts w:ascii="Arial" w:hAnsi="Arial" w:cs="Arial"/>
          <w:sz w:val="22"/>
          <w:szCs w:val="22"/>
          <w:lang w:val="en-AU"/>
        </w:rPr>
        <w:t xml:space="preserve"> </w:t>
      </w:r>
      <w:r w:rsidRPr="00EC512A">
        <w:rPr>
          <w:rFonts w:ascii="Arial" w:hAnsi="Arial" w:cs="Arial"/>
          <w:sz w:val="22"/>
          <w:szCs w:val="22"/>
          <w:lang w:val="en-AU"/>
        </w:rPr>
        <w:t>31–37.</w:t>
      </w:r>
    </w:p>
    <w:p w14:paraId="71C92E01" w14:textId="30010DA3"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8. Henry D, Carless P, </w:t>
      </w:r>
      <w:proofErr w:type="spellStart"/>
      <w:r w:rsidRPr="00EC512A">
        <w:rPr>
          <w:rFonts w:ascii="Arial" w:hAnsi="Arial" w:cs="Arial"/>
          <w:sz w:val="22"/>
          <w:szCs w:val="22"/>
          <w:lang w:val="en-AU"/>
        </w:rPr>
        <w:t>Moxey</w:t>
      </w:r>
      <w:proofErr w:type="spellEnd"/>
      <w:r w:rsidRPr="00EC512A">
        <w:rPr>
          <w:rFonts w:ascii="Arial" w:hAnsi="Arial" w:cs="Arial"/>
          <w:sz w:val="22"/>
          <w:szCs w:val="22"/>
          <w:lang w:val="en-AU"/>
        </w:rPr>
        <w:t xml:space="preserve"> A, et al. Anti-fibrinolytic use</w:t>
      </w:r>
      <w:r w:rsidR="00E8330D" w:rsidRPr="00EC512A">
        <w:rPr>
          <w:rFonts w:ascii="Arial" w:hAnsi="Arial" w:cs="Arial"/>
          <w:sz w:val="22"/>
          <w:szCs w:val="22"/>
          <w:lang w:val="en-AU"/>
        </w:rPr>
        <w:t xml:space="preserve"> </w:t>
      </w:r>
      <w:r w:rsidRPr="00EC512A">
        <w:rPr>
          <w:rFonts w:ascii="Arial" w:hAnsi="Arial" w:cs="Arial"/>
          <w:sz w:val="22"/>
          <w:szCs w:val="22"/>
          <w:lang w:val="en-AU"/>
        </w:rPr>
        <w:t>for minimising perioperative allogeneic blood</w:t>
      </w:r>
      <w:r w:rsidR="00E8330D" w:rsidRPr="00EC512A">
        <w:rPr>
          <w:rFonts w:ascii="Arial" w:hAnsi="Arial" w:cs="Arial"/>
          <w:sz w:val="22"/>
          <w:szCs w:val="22"/>
          <w:lang w:val="en-AU"/>
        </w:rPr>
        <w:t xml:space="preserve"> </w:t>
      </w:r>
      <w:r w:rsidRPr="00EC512A">
        <w:rPr>
          <w:rFonts w:ascii="Arial" w:hAnsi="Arial" w:cs="Arial"/>
          <w:sz w:val="22"/>
          <w:szCs w:val="22"/>
          <w:lang w:val="en-AU"/>
        </w:rPr>
        <w:t>transfusion.</w:t>
      </w:r>
      <w:r w:rsidR="00E8330D" w:rsidRPr="00EC512A">
        <w:rPr>
          <w:rFonts w:ascii="Arial" w:hAnsi="Arial" w:cs="Arial"/>
          <w:sz w:val="22"/>
          <w:szCs w:val="22"/>
          <w:lang w:val="en-AU"/>
        </w:rPr>
        <w:t xml:space="preserve"> </w:t>
      </w:r>
      <w:r w:rsidRPr="00EC512A">
        <w:rPr>
          <w:rFonts w:ascii="Arial" w:hAnsi="Arial" w:cs="Arial"/>
          <w:sz w:val="22"/>
          <w:szCs w:val="22"/>
          <w:lang w:val="en-AU"/>
        </w:rPr>
        <w:t>Cochrane Database Syst Rev 2011; 16: CD001886.</w:t>
      </w:r>
    </w:p>
    <w:p w14:paraId="69961C25" w14:textId="736EC43A"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9. Ho K and Ismail H. Use of intravenous tranexamic acid to</w:t>
      </w:r>
      <w:r w:rsidR="00E8330D" w:rsidRPr="00EC512A">
        <w:rPr>
          <w:rFonts w:ascii="Arial" w:hAnsi="Arial" w:cs="Arial"/>
          <w:sz w:val="22"/>
          <w:szCs w:val="22"/>
          <w:lang w:val="en-AU"/>
        </w:rPr>
        <w:t xml:space="preserve"> </w:t>
      </w:r>
      <w:r w:rsidRPr="00EC512A">
        <w:rPr>
          <w:rFonts w:ascii="Arial" w:hAnsi="Arial" w:cs="Arial"/>
          <w:sz w:val="22"/>
          <w:szCs w:val="22"/>
          <w:lang w:val="en-AU"/>
        </w:rPr>
        <w:t>reduce allogeneic blood transfusion in total hip and knee</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arthroplasty: a meta-analysis. </w:t>
      </w:r>
      <w:proofErr w:type="spellStart"/>
      <w:r w:rsidRPr="00EC512A">
        <w:rPr>
          <w:rFonts w:ascii="Arial" w:hAnsi="Arial" w:cs="Arial"/>
          <w:sz w:val="22"/>
          <w:szCs w:val="22"/>
          <w:lang w:val="en-AU"/>
        </w:rPr>
        <w:t>Anaesth</w:t>
      </w:r>
      <w:proofErr w:type="spellEnd"/>
      <w:r w:rsidRPr="00EC512A">
        <w:rPr>
          <w:rFonts w:ascii="Arial" w:hAnsi="Arial" w:cs="Arial"/>
          <w:sz w:val="22"/>
          <w:szCs w:val="22"/>
          <w:lang w:val="en-AU"/>
        </w:rPr>
        <w:t xml:space="preserve"> Intensive Care 2003;</w:t>
      </w:r>
      <w:r w:rsidR="00E8330D" w:rsidRPr="00EC512A">
        <w:rPr>
          <w:rFonts w:ascii="Arial" w:hAnsi="Arial" w:cs="Arial"/>
          <w:sz w:val="22"/>
          <w:szCs w:val="22"/>
          <w:lang w:val="en-AU"/>
        </w:rPr>
        <w:t xml:space="preserve"> </w:t>
      </w:r>
      <w:r w:rsidRPr="00EC512A">
        <w:rPr>
          <w:rFonts w:ascii="Arial" w:hAnsi="Arial" w:cs="Arial"/>
          <w:sz w:val="22"/>
          <w:szCs w:val="22"/>
          <w:lang w:val="en-AU"/>
        </w:rPr>
        <w:t>31: 529–537.</w:t>
      </w:r>
    </w:p>
    <w:p w14:paraId="57DB13AF" w14:textId="2E66E26B"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10. Zhou X, Tao L, Li J, et al. Do we really need tranexamic</w:t>
      </w:r>
      <w:r w:rsidR="00E8330D" w:rsidRPr="00EC512A">
        <w:rPr>
          <w:rFonts w:ascii="Arial" w:hAnsi="Arial" w:cs="Arial"/>
          <w:sz w:val="22"/>
          <w:szCs w:val="22"/>
          <w:lang w:val="en-AU"/>
        </w:rPr>
        <w:t xml:space="preserve"> </w:t>
      </w:r>
      <w:r w:rsidRPr="00EC512A">
        <w:rPr>
          <w:rFonts w:ascii="Arial" w:hAnsi="Arial" w:cs="Arial"/>
          <w:sz w:val="22"/>
          <w:szCs w:val="22"/>
          <w:lang w:val="en-AU"/>
        </w:rPr>
        <w:t>acid in total hip arthroplasty? A meta-analysis of nineteen</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randomized controlled trials. Arch </w:t>
      </w:r>
      <w:proofErr w:type="spellStart"/>
      <w:r w:rsidRPr="00EC512A">
        <w:rPr>
          <w:rFonts w:ascii="Arial" w:hAnsi="Arial" w:cs="Arial"/>
          <w:sz w:val="22"/>
          <w:szCs w:val="22"/>
          <w:lang w:val="en-AU"/>
        </w:rPr>
        <w:t>Orthop</w:t>
      </w:r>
      <w:proofErr w:type="spellEnd"/>
      <w:r w:rsidRPr="00EC512A">
        <w:rPr>
          <w:rFonts w:ascii="Arial" w:hAnsi="Arial" w:cs="Arial"/>
          <w:sz w:val="22"/>
          <w:szCs w:val="22"/>
          <w:lang w:val="en-AU"/>
        </w:rPr>
        <w:t xml:space="preserve"> Trauma Surg</w:t>
      </w:r>
      <w:r w:rsidR="00E8330D" w:rsidRPr="00EC512A">
        <w:rPr>
          <w:rFonts w:ascii="Arial" w:hAnsi="Arial" w:cs="Arial"/>
          <w:sz w:val="22"/>
          <w:szCs w:val="22"/>
          <w:lang w:val="en-AU"/>
        </w:rPr>
        <w:t xml:space="preserve"> </w:t>
      </w:r>
      <w:r w:rsidRPr="00EC512A">
        <w:rPr>
          <w:rFonts w:ascii="Arial" w:hAnsi="Arial" w:cs="Arial"/>
          <w:sz w:val="22"/>
          <w:szCs w:val="22"/>
          <w:lang w:val="en-AU"/>
        </w:rPr>
        <w:t>2013; 133: 1017–1027.</w:t>
      </w:r>
    </w:p>
    <w:p w14:paraId="08219E1F" w14:textId="2645C7BA"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11. Gandhi R, Evans H, Mahomed S, et al. Tranexamic acid</w:t>
      </w:r>
      <w:r w:rsidR="00E8330D" w:rsidRPr="00EC512A">
        <w:rPr>
          <w:rFonts w:ascii="Arial" w:hAnsi="Arial" w:cs="Arial"/>
          <w:sz w:val="22"/>
          <w:szCs w:val="22"/>
          <w:lang w:val="en-AU"/>
        </w:rPr>
        <w:t xml:space="preserve"> </w:t>
      </w:r>
      <w:r w:rsidRPr="00EC512A">
        <w:rPr>
          <w:rFonts w:ascii="Arial" w:hAnsi="Arial" w:cs="Arial"/>
          <w:sz w:val="22"/>
          <w:szCs w:val="22"/>
          <w:lang w:val="en-AU"/>
        </w:rPr>
        <w:t>and the reduction of blood loss in total knee and hip arthroplasty:</w:t>
      </w:r>
      <w:r w:rsidR="00E8330D" w:rsidRPr="00EC512A">
        <w:rPr>
          <w:rFonts w:ascii="Arial" w:hAnsi="Arial" w:cs="Arial"/>
          <w:sz w:val="22"/>
          <w:szCs w:val="22"/>
          <w:lang w:val="en-AU"/>
        </w:rPr>
        <w:t xml:space="preserve"> </w:t>
      </w:r>
      <w:r w:rsidRPr="00EC512A">
        <w:rPr>
          <w:rFonts w:ascii="Arial" w:hAnsi="Arial" w:cs="Arial"/>
          <w:sz w:val="22"/>
          <w:szCs w:val="22"/>
          <w:lang w:val="en-AU"/>
        </w:rPr>
        <w:t>a meta-analysis. BMC Res Notes 2013; 6: 184.</w:t>
      </w:r>
    </w:p>
    <w:p w14:paraId="66D4B54E" w14:textId="6E210EC2"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lastRenderedPageBreak/>
        <w:t xml:space="preserve">12. </w:t>
      </w:r>
      <w:proofErr w:type="spellStart"/>
      <w:r w:rsidRPr="00EC512A">
        <w:rPr>
          <w:rFonts w:ascii="Arial" w:hAnsi="Arial" w:cs="Arial"/>
          <w:sz w:val="22"/>
          <w:szCs w:val="22"/>
          <w:lang w:val="en-AU"/>
        </w:rPr>
        <w:t>Ekback</w:t>
      </w:r>
      <w:proofErr w:type="spellEnd"/>
      <w:r w:rsidRPr="00EC512A">
        <w:rPr>
          <w:rFonts w:ascii="Arial" w:hAnsi="Arial" w:cs="Arial"/>
          <w:sz w:val="22"/>
          <w:szCs w:val="22"/>
          <w:lang w:val="en-AU"/>
        </w:rPr>
        <w:t xml:space="preserve"> G, </w:t>
      </w:r>
      <w:proofErr w:type="spellStart"/>
      <w:r w:rsidRPr="00EC512A">
        <w:rPr>
          <w:rFonts w:ascii="Arial" w:hAnsi="Arial" w:cs="Arial"/>
          <w:sz w:val="22"/>
          <w:szCs w:val="22"/>
          <w:lang w:val="en-AU"/>
        </w:rPr>
        <w:t>Axelsson</w:t>
      </w:r>
      <w:proofErr w:type="spellEnd"/>
      <w:r w:rsidRPr="00EC512A">
        <w:rPr>
          <w:rFonts w:ascii="Arial" w:hAnsi="Arial" w:cs="Arial"/>
          <w:sz w:val="22"/>
          <w:szCs w:val="22"/>
          <w:lang w:val="en-AU"/>
        </w:rPr>
        <w:t xml:space="preserve"> K, </w:t>
      </w:r>
      <w:proofErr w:type="spellStart"/>
      <w:r w:rsidRPr="00EC512A">
        <w:rPr>
          <w:rFonts w:ascii="Arial" w:hAnsi="Arial" w:cs="Arial"/>
          <w:sz w:val="22"/>
          <w:szCs w:val="22"/>
          <w:lang w:val="en-AU"/>
        </w:rPr>
        <w:t>Ryttberg</w:t>
      </w:r>
      <w:proofErr w:type="spellEnd"/>
      <w:r w:rsidRPr="00EC512A">
        <w:rPr>
          <w:rFonts w:ascii="Arial" w:hAnsi="Arial" w:cs="Arial"/>
          <w:sz w:val="22"/>
          <w:szCs w:val="22"/>
          <w:lang w:val="en-AU"/>
        </w:rPr>
        <w:t xml:space="preserve"> L, et al. Tranexamic acid</w:t>
      </w:r>
      <w:r w:rsidR="00E8330D" w:rsidRPr="00EC512A">
        <w:rPr>
          <w:rFonts w:ascii="Arial" w:hAnsi="Arial" w:cs="Arial"/>
          <w:sz w:val="22"/>
          <w:szCs w:val="22"/>
          <w:lang w:val="en-AU"/>
        </w:rPr>
        <w:t xml:space="preserve"> </w:t>
      </w:r>
      <w:r w:rsidRPr="00EC512A">
        <w:rPr>
          <w:rFonts w:ascii="Arial" w:hAnsi="Arial" w:cs="Arial"/>
          <w:sz w:val="22"/>
          <w:szCs w:val="22"/>
          <w:lang w:val="en-AU"/>
        </w:rPr>
        <w:t>reduces blood loss in total hip replacement</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surgery. </w:t>
      </w:r>
      <w:proofErr w:type="spellStart"/>
      <w:r w:rsidRPr="00EC512A">
        <w:rPr>
          <w:rFonts w:ascii="Arial" w:hAnsi="Arial" w:cs="Arial"/>
          <w:sz w:val="22"/>
          <w:szCs w:val="22"/>
          <w:lang w:val="en-AU"/>
        </w:rPr>
        <w:t>Anesth</w:t>
      </w:r>
      <w:proofErr w:type="spellEnd"/>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Analg</w:t>
      </w:r>
      <w:proofErr w:type="spellEnd"/>
      <w:r w:rsidRPr="00EC512A">
        <w:rPr>
          <w:rFonts w:ascii="Arial" w:hAnsi="Arial" w:cs="Arial"/>
          <w:sz w:val="22"/>
          <w:szCs w:val="22"/>
          <w:lang w:val="en-AU"/>
        </w:rPr>
        <w:t xml:space="preserve"> 2000; 91: 1124–1130.</w:t>
      </w:r>
    </w:p>
    <w:p w14:paraId="0C973855" w14:textId="3645944E"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13. Australian Red Cross Blood Service. 2016/17 blood bag</w:t>
      </w:r>
      <w:r w:rsidR="00E8330D" w:rsidRPr="00EC512A">
        <w:rPr>
          <w:rFonts w:ascii="Arial" w:hAnsi="Arial" w:cs="Arial"/>
          <w:sz w:val="22"/>
          <w:szCs w:val="22"/>
          <w:lang w:val="en-AU"/>
        </w:rPr>
        <w:t xml:space="preserve"> </w:t>
      </w:r>
      <w:r w:rsidRPr="00EC512A">
        <w:rPr>
          <w:rFonts w:ascii="Arial" w:hAnsi="Arial" w:cs="Arial"/>
          <w:sz w:val="22"/>
          <w:szCs w:val="22"/>
          <w:lang w:val="en-AU"/>
        </w:rPr>
        <w:t>cost indicators,</w:t>
      </w:r>
      <w:r w:rsidR="00E8330D" w:rsidRPr="00EC512A">
        <w:rPr>
          <w:rFonts w:ascii="Arial" w:hAnsi="Arial" w:cs="Arial"/>
          <w:sz w:val="22"/>
          <w:szCs w:val="22"/>
          <w:lang w:val="en-AU"/>
        </w:rPr>
        <w:t xml:space="preserve"> </w:t>
      </w:r>
      <w:hyperlink r:id="rId8" w:history="1">
        <w:r w:rsidR="00E8330D" w:rsidRPr="00EC512A">
          <w:rPr>
            <w:rStyle w:val="Hyperlink"/>
            <w:rFonts w:ascii="Arial" w:hAnsi="Arial" w:cs="Arial"/>
            <w:sz w:val="22"/>
            <w:szCs w:val="22"/>
            <w:lang w:val="en-AU"/>
          </w:rPr>
          <w:t>https://transfusion.com.au/bsib_july2016_3</w:t>
        </w:r>
      </w:hyperlink>
      <w:r w:rsidR="00E8330D" w:rsidRPr="00EC512A">
        <w:rPr>
          <w:rFonts w:ascii="Arial" w:hAnsi="Arial" w:cs="Arial"/>
          <w:sz w:val="22"/>
          <w:szCs w:val="22"/>
          <w:lang w:val="en-AU"/>
        </w:rPr>
        <w:t xml:space="preserve"> </w:t>
      </w:r>
      <w:r w:rsidRPr="00EC512A">
        <w:rPr>
          <w:rFonts w:ascii="Arial" w:hAnsi="Arial" w:cs="Arial"/>
          <w:sz w:val="22"/>
          <w:szCs w:val="22"/>
          <w:lang w:val="en-AU"/>
        </w:rPr>
        <w:t>(2017, accessed 03 July 2018).</w:t>
      </w:r>
    </w:p>
    <w:p w14:paraId="0B8EFFC4" w14:textId="7BE3A299"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14. Lemaire R. Strategies for blood management in orthopaedic and</w:t>
      </w:r>
      <w:r w:rsidR="00E8330D" w:rsidRPr="00EC512A">
        <w:rPr>
          <w:rFonts w:ascii="Arial" w:hAnsi="Arial" w:cs="Arial"/>
          <w:sz w:val="22"/>
          <w:szCs w:val="22"/>
          <w:lang w:val="en-AU"/>
        </w:rPr>
        <w:t xml:space="preserve"> </w:t>
      </w:r>
      <w:r w:rsidRPr="00EC512A">
        <w:rPr>
          <w:rFonts w:ascii="Arial" w:hAnsi="Arial" w:cs="Arial"/>
          <w:sz w:val="22"/>
          <w:szCs w:val="22"/>
          <w:lang w:val="en-AU"/>
        </w:rPr>
        <w:t>trauma surgery. J Bone Joint Surg Br 2008; 90: 1128–1136.</w:t>
      </w:r>
    </w:p>
    <w:p w14:paraId="1E376ACD" w14:textId="7D2AADAA"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15. Cardone D and Klein AA. Perioperative blood conservation.</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Eur J </w:t>
      </w:r>
      <w:proofErr w:type="spellStart"/>
      <w:r w:rsidRPr="00EC512A">
        <w:rPr>
          <w:rFonts w:ascii="Arial" w:hAnsi="Arial" w:cs="Arial"/>
          <w:sz w:val="22"/>
          <w:szCs w:val="22"/>
          <w:lang w:val="en-AU"/>
        </w:rPr>
        <w:t>Anaesthesiol</w:t>
      </w:r>
      <w:proofErr w:type="spellEnd"/>
      <w:r w:rsidRPr="00EC512A">
        <w:rPr>
          <w:rFonts w:ascii="Arial" w:hAnsi="Arial" w:cs="Arial"/>
          <w:sz w:val="22"/>
          <w:szCs w:val="22"/>
          <w:lang w:val="en-AU"/>
        </w:rPr>
        <w:t xml:space="preserve"> 2009; 26: 722–729.</w:t>
      </w:r>
    </w:p>
    <w:p w14:paraId="44B7ABBB" w14:textId="4BBE05DF"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16. Fernandez MC, Gottlieb M and </w:t>
      </w:r>
      <w:proofErr w:type="spellStart"/>
      <w:r w:rsidRPr="00EC512A">
        <w:rPr>
          <w:rFonts w:ascii="Arial" w:hAnsi="Arial" w:cs="Arial"/>
          <w:sz w:val="22"/>
          <w:szCs w:val="22"/>
          <w:lang w:val="en-AU"/>
        </w:rPr>
        <w:t>Menitove</w:t>
      </w:r>
      <w:proofErr w:type="spellEnd"/>
      <w:r w:rsidRPr="00EC512A">
        <w:rPr>
          <w:rFonts w:ascii="Arial" w:hAnsi="Arial" w:cs="Arial"/>
          <w:sz w:val="22"/>
          <w:szCs w:val="22"/>
          <w:lang w:val="en-AU"/>
        </w:rPr>
        <w:t xml:space="preserve"> JE. Blood transfusion</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and postoperative infection in </w:t>
      </w:r>
      <w:proofErr w:type="spellStart"/>
      <w:r w:rsidRPr="00EC512A">
        <w:rPr>
          <w:rFonts w:ascii="Arial" w:hAnsi="Arial" w:cs="Arial"/>
          <w:sz w:val="22"/>
          <w:szCs w:val="22"/>
          <w:lang w:val="en-AU"/>
        </w:rPr>
        <w:t>orthopedic</w:t>
      </w:r>
      <w:proofErr w:type="spellEnd"/>
      <w:r w:rsidRPr="00EC512A">
        <w:rPr>
          <w:rFonts w:ascii="Arial" w:hAnsi="Arial" w:cs="Arial"/>
          <w:sz w:val="22"/>
          <w:szCs w:val="22"/>
          <w:lang w:val="en-AU"/>
        </w:rPr>
        <w:t xml:space="preserve"> patients.</w:t>
      </w:r>
      <w:r w:rsidR="00E8330D" w:rsidRPr="00EC512A">
        <w:rPr>
          <w:rFonts w:ascii="Arial" w:hAnsi="Arial" w:cs="Arial"/>
          <w:sz w:val="22"/>
          <w:szCs w:val="22"/>
          <w:lang w:val="en-AU"/>
        </w:rPr>
        <w:t xml:space="preserve"> </w:t>
      </w:r>
      <w:r w:rsidRPr="00EC512A">
        <w:rPr>
          <w:rFonts w:ascii="Arial" w:hAnsi="Arial" w:cs="Arial"/>
          <w:sz w:val="22"/>
          <w:szCs w:val="22"/>
          <w:lang w:val="en-AU"/>
        </w:rPr>
        <w:t>Transfusion 1992; 32: 318–322.</w:t>
      </w:r>
    </w:p>
    <w:p w14:paraId="3731BA8A" w14:textId="5AC1FEC7"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17. Weber EW, </w:t>
      </w:r>
      <w:proofErr w:type="spellStart"/>
      <w:r w:rsidRPr="00EC512A">
        <w:rPr>
          <w:rFonts w:ascii="Arial" w:hAnsi="Arial" w:cs="Arial"/>
          <w:sz w:val="22"/>
          <w:szCs w:val="22"/>
          <w:lang w:val="en-AU"/>
        </w:rPr>
        <w:t>Slappendel</w:t>
      </w:r>
      <w:proofErr w:type="spellEnd"/>
      <w:r w:rsidRPr="00EC512A">
        <w:rPr>
          <w:rFonts w:ascii="Arial" w:hAnsi="Arial" w:cs="Arial"/>
          <w:sz w:val="22"/>
          <w:szCs w:val="22"/>
          <w:lang w:val="en-AU"/>
        </w:rPr>
        <w:t xml:space="preserve"> R, </w:t>
      </w:r>
      <w:proofErr w:type="spellStart"/>
      <w:r w:rsidRPr="00EC512A">
        <w:rPr>
          <w:rFonts w:ascii="Arial" w:hAnsi="Arial" w:cs="Arial"/>
          <w:sz w:val="22"/>
          <w:szCs w:val="22"/>
          <w:lang w:val="en-AU"/>
        </w:rPr>
        <w:t>Prins</w:t>
      </w:r>
      <w:proofErr w:type="spellEnd"/>
      <w:r w:rsidRPr="00EC512A">
        <w:rPr>
          <w:rFonts w:ascii="Arial" w:hAnsi="Arial" w:cs="Arial"/>
          <w:sz w:val="22"/>
          <w:szCs w:val="22"/>
          <w:lang w:val="en-AU"/>
        </w:rPr>
        <w:t xml:space="preserve"> MH, et al. Perioperative</w:t>
      </w:r>
      <w:r w:rsidR="00E8330D" w:rsidRPr="00EC512A">
        <w:rPr>
          <w:rFonts w:ascii="Arial" w:hAnsi="Arial" w:cs="Arial"/>
          <w:sz w:val="22"/>
          <w:szCs w:val="22"/>
          <w:lang w:val="en-AU"/>
        </w:rPr>
        <w:t xml:space="preserve"> </w:t>
      </w:r>
      <w:r w:rsidRPr="00EC512A">
        <w:rPr>
          <w:rFonts w:ascii="Arial" w:hAnsi="Arial" w:cs="Arial"/>
          <w:sz w:val="22"/>
          <w:szCs w:val="22"/>
          <w:lang w:val="en-AU"/>
        </w:rPr>
        <w:t>blood transfusions and delayed wound healing after hip</w:t>
      </w:r>
      <w:r w:rsidR="00E8330D" w:rsidRPr="00EC512A">
        <w:rPr>
          <w:rFonts w:ascii="Arial" w:hAnsi="Arial" w:cs="Arial"/>
          <w:sz w:val="22"/>
          <w:szCs w:val="22"/>
          <w:lang w:val="en-AU"/>
        </w:rPr>
        <w:t xml:space="preserve"> </w:t>
      </w:r>
      <w:r w:rsidRPr="00EC512A">
        <w:rPr>
          <w:rFonts w:ascii="Arial" w:hAnsi="Arial" w:cs="Arial"/>
          <w:sz w:val="22"/>
          <w:szCs w:val="22"/>
          <w:lang w:val="en-AU"/>
        </w:rPr>
        <w:t>replacement surgery: effects on duration of hospitalization.</w:t>
      </w:r>
      <w:r w:rsidR="00E8330D" w:rsidRPr="00EC512A">
        <w:rPr>
          <w:rFonts w:ascii="Arial" w:hAnsi="Arial" w:cs="Arial"/>
          <w:sz w:val="22"/>
          <w:szCs w:val="22"/>
          <w:lang w:val="en-AU"/>
        </w:rPr>
        <w:t xml:space="preserve"> </w:t>
      </w:r>
      <w:proofErr w:type="spellStart"/>
      <w:r w:rsidR="00E8330D" w:rsidRPr="00EC512A">
        <w:rPr>
          <w:rFonts w:ascii="Arial" w:hAnsi="Arial" w:cs="Arial"/>
          <w:sz w:val="22"/>
          <w:szCs w:val="22"/>
          <w:lang w:val="en-AU"/>
        </w:rPr>
        <w:t>A</w:t>
      </w:r>
      <w:r w:rsidRPr="00EC512A">
        <w:rPr>
          <w:rFonts w:ascii="Arial" w:hAnsi="Arial" w:cs="Arial"/>
          <w:sz w:val="22"/>
          <w:szCs w:val="22"/>
          <w:lang w:val="en-AU"/>
        </w:rPr>
        <w:t>nesth</w:t>
      </w:r>
      <w:proofErr w:type="spellEnd"/>
      <w:r w:rsidRPr="00EC512A">
        <w:rPr>
          <w:rFonts w:ascii="Arial" w:hAnsi="Arial" w:cs="Arial"/>
          <w:sz w:val="22"/>
          <w:szCs w:val="22"/>
          <w:lang w:val="en-AU"/>
        </w:rPr>
        <w:t xml:space="preserve"> </w:t>
      </w:r>
      <w:proofErr w:type="spellStart"/>
      <w:r w:rsidRPr="00EC512A">
        <w:rPr>
          <w:rFonts w:ascii="Arial" w:hAnsi="Arial" w:cs="Arial"/>
          <w:sz w:val="22"/>
          <w:szCs w:val="22"/>
          <w:lang w:val="en-AU"/>
        </w:rPr>
        <w:t>Analg</w:t>
      </w:r>
      <w:proofErr w:type="spellEnd"/>
      <w:r w:rsidRPr="00EC512A">
        <w:rPr>
          <w:rFonts w:ascii="Arial" w:hAnsi="Arial" w:cs="Arial"/>
          <w:sz w:val="22"/>
          <w:szCs w:val="22"/>
          <w:lang w:val="en-AU"/>
        </w:rPr>
        <w:t xml:space="preserve"> 2005; 100: 1416–1421.</w:t>
      </w:r>
    </w:p>
    <w:p w14:paraId="685C8D71" w14:textId="1857B559"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18. </w:t>
      </w:r>
      <w:proofErr w:type="spellStart"/>
      <w:r w:rsidRPr="00EC512A">
        <w:rPr>
          <w:rFonts w:ascii="Arial" w:hAnsi="Arial" w:cs="Arial"/>
          <w:sz w:val="22"/>
          <w:szCs w:val="22"/>
          <w:lang w:val="en-AU"/>
        </w:rPr>
        <w:t>Bierbaum</w:t>
      </w:r>
      <w:proofErr w:type="spellEnd"/>
      <w:r w:rsidRPr="00EC512A">
        <w:rPr>
          <w:rFonts w:ascii="Arial" w:hAnsi="Arial" w:cs="Arial"/>
          <w:sz w:val="22"/>
          <w:szCs w:val="22"/>
          <w:lang w:val="en-AU"/>
        </w:rPr>
        <w:t xml:space="preserve"> B, Callaghan J, Galante J, et al. An analysis of</w:t>
      </w:r>
      <w:r w:rsidR="00E8330D" w:rsidRPr="00EC512A">
        <w:rPr>
          <w:rFonts w:ascii="Arial" w:hAnsi="Arial" w:cs="Arial"/>
          <w:sz w:val="22"/>
          <w:szCs w:val="22"/>
          <w:lang w:val="en-AU"/>
        </w:rPr>
        <w:t xml:space="preserve"> </w:t>
      </w:r>
      <w:r w:rsidRPr="00EC512A">
        <w:rPr>
          <w:rFonts w:ascii="Arial" w:hAnsi="Arial" w:cs="Arial"/>
          <w:sz w:val="22"/>
          <w:szCs w:val="22"/>
          <w:lang w:val="en-AU"/>
        </w:rPr>
        <w:t>blood management in patients having a total hip or knee</w:t>
      </w:r>
      <w:r w:rsidR="00E8330D" w:rsidRPr="00EC512A">
        <w:rPr>
          <w:rFonts w:ascii="Arial" w:hAnsi="Arial" w:cs="Arial"/>
          <w:sz w:val="22"/>
          <w:szCs w:val="22"/>
          <w:lang w:val="en-AU"/>
        </w:rPr>
        <w:t xml:space="preserve"> </w:t>
      </w:r>
      <w:r w:rsidRPr="00EC512A">
        <w:rPr>
          <w:rFonts w:ascii="Arial" w:hAnsi="Arial" w:cs="Arial"/>
          <w:sz w:val="22"/>
          <w:szCs w:val="22"/>
          <w:lang w:val="en-AU"/>
        </w:rPr>
        <w:t>arthroplasty. J Bone Joint Surg Am 1999; 81: 2–10.</w:t>
      </w:r>
    </w:p>
    <w:p w14:paraId="03F06D34" w14:textId="3F0866E8"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19. Pedersen A, </w:t>
      </w:r>
      <w:proofErr w:type="spellStart"/>
      <w:r w:rsidRPr="00EC512A">
        <w:rPr>
          <w:rFonts w:ascii="Arial" w:hAnsi="Arial" w:cs="Arial"/>
          <w:sz w:val="22"/>
          <w:szCs w:val="22"/>
          <w:lang w:val="en-AU"/>
        </w:rPr>
        <w:t>Mehnert</w:t>
      </w:r>
      <w:proofErr w:type="spellEnd"/>
      <w:r w:rsidRPr="00EC512A">
        <w:rPr>
          <w:rFonts w:ascii="Arial" w:hAnsi="Arial" w:cs="Arial"/>
          <w:sz w:val="22"/>
          <w:szCs w:val="22"/>
          <w:lang w:val="en-AU"/>
        </w:rPr>
        <w:t xml:space="preserve"> F, Overgaard S, et al. Allogenic blood</w:t>
      </w:r>
      <w:r w:rsidR="00E8330D" w:rsidRPr="00EC512A">
        <w:rPr>
          <w:rFonts w:ascii="Arial" w:hAnsi="Arial" w:cs="Arial"/>
          <w:sz w:val="22"/>
          <w:szCs w:val="22"/>
          <w:lang w:val="en-AU"/>
        </w:rPr>
        <w:t xml:space="preserve"> </w:t>
      </w:r>
      <w:r w:rsidRPr="00EC512A">
        <w:rPr>
          <w:rFonts w:ascii="Arial" w:hAnsi="Arial" w:cs="Arial"/>
          <w:sz w:val="22"/>
          <w:szCs w:val="22"/>
          <w:lang w:val="en-AU"/>
        </w:rPr>
        <w:t>transfusion and prognosis following total hip replacement:</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a population-based follow up study. BMC </w:t>
      </w:r>
      <w:proofErr w:type="spellStart"/>
      <w:r w:rsidRPr="00EC512A">
        <w:rPr>
          <w:rFonts w:ascii="Arial" w:hAnsi="Arial" w:cs="Arial"/>
          <w:sz w:val="22"/>
          <w:szCs w:val="22"/>
          <w:lang w:val="en-AU"/>
        </w:rPr>
        <w:t>Musculoskelet</w:t>
      </w:r>
      <w:proofErr w:type="spellEnd"/>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Disord</w:t>
      </w:r>
      <w:proofErr w:type="spellEnd"/>
      <w:r w:rsidRPr="00EC512A">
        <w:rPr>
          <w:rFonts w:ascii="Arial" w:hAnsi="Arial" w:cs="Arial"/>
          <w:sz w:val="22"/>
          <w:szCs w:val="22"/>
          <w:lang w:val="en-AU"/>
        </w:rPr>
        <w:t xml:space="preserve"> 2009; 10: 167.</w:t>
      </w:r>
    </w:p>
    <w:p w14:paraId="64901617" w14:textId="1C8E7A92"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20. Kennon RE, </w:t>
      </w:r>
      <w:proofErr w:type="spellStart"/>
      <w:r w:rsidRPr="00EC512A">
        <w:rPr>
          <w:rFonts w:ascii="Arial" w:hAnsi="Arial" w:cs="Arial"/>
          <w:sz w:val="22"/>
          <w:szCs w:val="22"/>
          <w:lang w:val="en-AU"/>
        </w:rPr>
        <w:t>Keggi</w:t>
      </w:r>
      <w:proofErr w:type="spellEnd"/>
      <w:r w:rsidRPr="00EC512A">
        <w:rPr>
          <w:rFonts w:ascii="Arial" w:hAnsi="Arial" w:cs="Arial"/>
          <w:sz w:val="22"/>
          <w:szCs w:val="22"/>
          <w:lang w:val="en-AU"/>
        </w:rPr>
        <w:t xml:space="preserve"> JM, Wetmore RS, et al. Total hip</w:t>
      </w:r>
      <w:r w:rsidR="00E8330D" w:rsidRPr="00EC512A">
        <w:rPr>
          <w:rFonts w:ascii="Arial" w:hAnsi="Arial" w:cs="Arial"/>
          <w:sz w:val="22"/>
          <w:szCs w:val="22"/>
          <w:lang w:val="en-AU"/>
        </w:rPr>
        <w:t xml:space="preserve"> </w:t>
      </w:r>
      <w:r w:rsidRPr="00EC512A">
        <w:rPr>
          <w:rFonts w:ascii="Arial" w:hAnsi="Arial" w:cs="Arial"/>
          <w:sz w:val="22"/>
          <w:szCs w:val="22"/>
          <w:lang w:val="en-AU"/>
        </w:rPr>
        <w:t>arthroplasty through a minimally invasive anterior</w:t>
      </w:r>
      <w:r w:rsidR="00E8330D" w:rsidRPr="00EC512A">
        <w:rPr>
          <w:rFonts w:ascii="Arial" w:hAnsi="Arial" w:cs="Arial"/>
          <w:sz w:val="22"/>
          <w:szCs w:val="22"/>
          <w:lang w:val="en-AU"/>
        </w:rPr>
        <w:t xml:space="preserve"> </w:t>
      </w:r>
      <w:r w:rsidRPr="00EC512A">
        <w:rPr>
          <w:rFonts w:ascii="Arial" w:hAnsi="Arial" w:cs="Arial"/>
          <w:sz w:val="22"/>
          <w:szCs w:val="22"/>
          <w:lang w:val="en-AU"/>
        </w:rPr>
        <w:t>surgical</w:t>
      </w:r>
      <w:r w:rsidR="00E8330D" w:rsidRPr="00EC512A">
        <w:rPr>
          <w:rFonts w:ascii="Arial" w:hAnsi="Arial" w:cs="Arial"/>
          <w:sz w:val="22"/>
          <w:szCs w:val="22"/>
          <w:lang w:val="en-AU"/>
        </w:rPr>
        <w:t xml:space="preserve"> </w:t>
      </w:r>
      <w:r w:rsidRPr="00EC512A">
        <w:rPr>
          <w:rFonts w:ascii="Arial" w:hAnsi="Arial" w:cs="Arial"/>
          <w:sz w:val="22"/>
          <w:szCs w:val="22"/>
          <w:lang w:val="en-AU"/>
        </w:rPr>
        <w:t>approach. J Bone Joint Surg Am 2003; 85: 39–48.</w:t>
      </w:r>
    </w:p>
    <w:p w14:paraId="4789C723" w14:textId="1E743F18"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21. Matta JM, </w:t>
      </w:r>
      <w:proofErr w:type="spellStart"/>
      <w:r w:rsidRPr="00EC512A">
        <w:rPr>
          <w:rFonts w:ascii="Arial" w:hAnsi="Arial" w:cs="Arial"/>
          <w:sz w:val="22"/>
          <w:szCs w:val="22"/>
          <w:lang w:val="en-AU"/>
        </w:rPr>
        <w:t>Shahrdar</w:t>
      </w:r>
      <w:proofErr w:type="spellEnd"/>
      <w:r w:rsidRPr="00EC512A">
        <w:rPr>
          <w:rFonts w:ascii="Arial" w:hAnsi="Arial" w:cs="Arial"/>
          <w:sz w:val="22"/>
          <w:szCs w:val="22"/>
          <w:lang w:val="en-AU"/>
        </w:rPr>
        <w:t xml:space="preserve"> C and Ferguson T. Single-incision anterior</w:t>
      </w:r>
      <w:r w:rsidR="00E8330D" w:rsidRPr="00EC512A">
        <w:rPr>
          <w:rFonts w:ascii="Arial" w:hAnsi="Arial" w:cs="Arial"/>
          <w:sz w:val="22"/>
          <w:szCs w:val="22"/>
          <w:lang w:val="en-AU"/>
        </w:rPr>
        <w:t xml:space="preserve"> </w:t>
      </w:r>
      <w:r w:rsidRPr="00EC512A">
        <w:rPr>
          <w:rFonts w:ascii="Arial" w:hAnsi="Arial" w:cs="Arial"/>
          <w:sz w:val="22"/>
          <w:szCs w:val="22"/>
          <w:lang w:val="en-AU"/>
        </w:rPr>
        <w:t>approach for total hip arthroplasty on an orthopaedic</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table. Clin </w:t>
      </w:r>
      <w:proofErr w:type="spellStart"/>
      <w:r w:rsidRPr="00EC512A">
        <w:rPr>
          <w:rFonts w:ascii="Arial" w:hAnsi="Arial" w:cs="Arial"/>
          <w:sz w:val="22"/>
          <w:szCs w:val="22"/>
          <w:lang w:val="en-AU"/>
        </w:rPr>
        <w:t>Orthop</w:t>
      </w:r>
      <w:proofErr w:type="spellEnd"/>
      <w:r w:rsidRPr="00EC512A">
        <w:rPr>
          <w:rFonts w:ascii="Arial" w:hAnsi="Arial" w:cs="Arial"/>
          <w:sz w:val="22"/>
          <w:szCs w:val="22"/>
          <w:lang w:val="en-AU"/>
        </w:rPr>
        <w:t xml:space="preserve"> </w:t>
      </w:r>
      <w:proofErr w:type="spellStart"/>
      <w:r w:rsidRPr="00EC512A">
        <w:rPr>
          <w:rFonts w:ascii="Arial" w:hAnsi="Arial" w:cs="Arial"/>
          <w:sz w:val="22"/>
          <w:szCs w:val="22"/>
          <w:lang w:val="en-AU"/>
        </w:rPr>
        <w:t>Relat</w:t>
      </w:r>
      <w:proofErr w:type="spellEnd"/>
      <w:r w:rsidRPr="00EC512A">
        <w:rPr>
          <w:rFonts w:ascii="Arial" w:hAnsi="Arial" w:cs="Arial"/>
          <w:sz w:val="22"/>
          <w:szCs w:val="22"/>
          <w:lang w:val="en-AU"/>
        </w:rPr>
        <w:t xml:space="preserve"> Res 2005; 441: 115–124.</w:t>
      </w:r>
    </w:p>
    <w:p w14:paraId="27C755C7" w14:textId="4AFE4CE3"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22. Bremer AK, </w:t>
      </w:r>
      <w:proofErr w:type="spellStart"/>
      <w:r w:rsidRPr="00EC512A">
        <w:rPr>
          <w:rFonts w:ascii="Arial" w:hAnsi="Arial" w:cs="Arial"/>
          <w:sz w:val="22"/>
          <w:szCs w:val="22"/>
          <w:lang w:val="en-AU"/>
        </w:rPr>
        <w:t>Kalberer</w:t>
      </w:r>
      <w:proofErr w:type="spellEnd"/>
      <w:r w:rsidRPr="00EC512A">
        <w:rPr>
          <w:rFonts w:ascii="Arial" w:hAnsi="Arial" w:cs="Arial"/>
          <w:sz w:val="22"/>
          <w:szCs w:val="22"/>
          <w:lang w:val="en-AU"/>
        </w:rPr>
        <w:t xml:space="preserve"> F, </w:t>
      </w:r>
      <w:proofErr w:type="spellStart"/>
      <w:r w:rsidRPr="00EC512A">
        <w:rPr>
          <w:rFonts w:ascii="Arial" w:hAnsi="Arial" w:cs="Arial"/>
          <w:sz w:val="22"/>
          <w:szCs w:val="22"/>
          <w:lang w:val="en-AU"/>
        </w:rPr>
        <w:t>Pfirrmann</w:t>
      </w:r>
      <w:proofErr w:type="spellEnd"/>
      <w:r w:rsidRPr="00EC512A">
        <w:rPr>
          <w:rFonts w:ascii="Arial" w:hAnsi="Arial" w:cs="Arial"/>
          <w:sz w:val="22"/>
          <w:szCs w:val="22"/>
          <w:lang w:val="en-AU"/>
        </w:rPr>
        <w:t xml:space="preserve"> CW, et al. Soft-tissue</w:t>
      </w:r>
      <w:r w:rsidR="00E8330D" w:rsidRPr="00EC512A">
        <w:rPr>
          <w:rFonts w:ascii="Arial" w:hAnsi="Arial" w:cs="Arial"/>
          <w:sz w:val="22"/>
          <w:szCs w:val="22"/>
          <w:lang w:val="en-AU"/>
        </w:rPr>
        <w:t xml:space="preserve"> </w:t>
      </w:r>
      <w:r w:rsidRPr="00EC512A">
        <w:rPr>
          <w:rFonts w:ascii="Arial" w:hAnsi="Arial" w:cs="Arial"/>
          <w:sz w:val="22"/>
          <w:szCs w:val="22"/>
          <w:lang w:val="en-AU"/>
        </w:rPr>
        <w:t>changes in hip abductor muscles and tendons after total hip</w:t>
      </w:r>
      <w:r w:rsidR="00E8330D" w:rsidRPr="00EC512A">
        <w:rPr>
          <w:rFonts w:ascii="Arial" w:hAnsi="Arial" w:cs="Arial"/>
          <w:sz w:val="22"/>
          <w:szCs w:val="22"/>
          <w:lang w:val="en-AU"/>
        </w:rPr>
        <w:t xml:space="preserve"> </w:t>
      </w:r>
      <w:r w:rsidRPr="00EC512A">
        <w:rPr>
          <w:rFonts w:ascii="Arial" w:hAnsi="Arial" w:cs="Arial"/>
          <w:sz w:val="22"/>
          <w:szCs w:val="22"/>
          <w:lang w:val="en-AU"/>
        </w:rPr>
        <w:t>replacement: comparison between the direct anterior and</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the </w:t>
      </w:r>
      <w:proofErr w:type="spellStart"/>
      <w:r w:rsidRPr="00EC512A">
        <w:rPr>
          <w:rFonts w:ascii="Arial" w:hAnsi="Arial" w:cs="Arial"/>
          <w:sz w:val="22"/>
          <w:szCs w:val="22"/>
          <w:lang w:val="en-AU"/>
        </w:rPr>
        <w:t>transgluteal</w:t>
      </w:r>
      <w:proofErr w:type="spellEnd"/>
      <w:r w:rsidRPr="00EC512A">
        <w:rPr>
          <w:rFonts w:ascii="Arial" w:hAnsi="Arial" w:cs="Arial"/>
          <w:sz w:val="22"/>
          <w:szCs w:val="22"/>
          <w:lang w:val="en-AU"/>
        </w:rPr>
        <w:t xml:space="preserve"> approaches. J Bone Joint Surg Br 2011; 93:</w:t>
      </w:r>
      <w:r w:rsidR="00E8330D" w:rsidRPr="00EC512A">
        <w:rPr>
          <w:rFonts w:ascii="Arial" w:hAnsi="Arial" w:cs="Arial"/>
          <w:sz w:val="22"/>
          <w:szCs w:val="22"/>
          <w:lang w:val="en-AU"/>
        </w:rPr>
        <w:t xml:space="preserve"> </w:t>
      </w:r>
      <w:r w:rsidRPr="00EC512A">
        <w:rPr>
          <w:rFonts w:ascii="Arial" w:hAnsi="Arial" w:cs="Arial"/>
          <w:sz w:val="22"/>
          <w:szCs w:val="22"/>
          <w:lang w:val="en-AU"/>
        </w:rPr>
        <w:t>886–889.</w:t>
      </w:r>
    </w:p>
    <w:p w14:paraId="7F3C3900" w14:textId="41C003D8"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23. </w:t>
      </w:r>
      <w:proofErr w:type="spellStart"/>
      <w:r w:rsidRPr="00EC512A">
        <w:rPr>
          <w:rFonts w:ascii="Arial" w:hAnsi="Arial" w:cs="Arial"/>
          <w:sz w:val="22"/>
          <w:szCs w:val="22"/>
          <w:lang w:val="en-AU"/>
        </w:rPr>
        <w:t>Meermans</w:t>
      </w:r>
      <w:proofErr w:type="spellEnd"/>
      <w:r w:rsidRPr="00EC512A">
        <w:rPr>
          <w:rFonts w:ascii="Arial" w:hAnsi="Arial" w:cs="Arial"/>
          <w:sz w:val="22"/>
          <w:szCs w:val="22"/>
          <w:lang w:val="en-AU"/>
        </w:rPr>
        <w:t xml:space="preserve"> G, Konan S, Das R, et al. The direct anterior</w:t>
      </w:r>
      <w:r w:rsidR="00E8330D" w:rsidRPr="00EC512A">
        <w:rPr>
          <w:rFonts w:ascii="Arial" w:hAnsi="Arial" w:cs="Arial"/>
          <w:sz w:val="22"/>
          <w:szCs w:val="22"/>
          <w:lang w:val="en-AU"/>
        </w:rPr>
        <w:t xml:space="preserve"> </w:t>
      </w:r>
      <w:r w:rsidRPr="00EC512A">
        <w:rPr>
          <w:rFonts w:ascii="Arial" w:hAnsi="Arial" w:cs="Arial"/>
          <w:sz w:val="22"/>
          <w:szCs w:val="22"/>
          <w:lang w:val="en-AU"/>
        </w:rPr>
        <w:t>approach in total hip arthroplasty: a systematic review of</w:t>
      </w:r>
      <w:r w:rsidR="00E8330D" w:rsidRPr="00EC512A">
        <w:rPr>
          <w:rFonts w:ascii="Arial" w:hAnsi="Arial" w:cs="Arial"/>
          <w:sz w:val="22"/>
          <w:szCs w:val="22"/>
          <w:lang w:val="en-AU"/>
        </w:rPr>
        <w:t xml:space="preserve"> </w:t>
      </w:r>
      <w:r w:rsidRPr="00EC512A">
        <w:rPr>
          <w:rFonts w:ascii="Arial" w:hAnsi="Arial" w:cs="Arial"/>
          <w:sz w:val="22"/>
          <w:szCs w:val="22"/>
          <w:lang w:val="en-AU"/>
        </w:rPr>
        <w:t>the literature. Bone Joint J 2017; 99: 732–740.</w:t>
      </w:r>
    </w:p>
    <w:p w14:paraId="424D8511" w14:textId="4E766AE4"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lastRenderedPageBreak/>
        <w:t xml:space="preserve">24. </w:t>
      </w:r>
      <w:proofErr w:type="spellStart"/>
      <w:r w:rsidRPr="00EC512A">
        <w:rPr>
          <w:rFonts w:ascii="Arial" w:hAnsi="Arial" w:cs="Arial"/>
          <w:sz w:val="22"/>
          <w:szCs w:val="22"/>
          <w:lang w:val="en-AU"/>
        </w:rPr>
        <w:t>StataCorp</w:t>
      </w:r>
      <w:proofErr w:type="spellEnd"/>
      <w:r w:rsidRPr="00EC512A">
        <w:rPr>
          <w:rFonts w:ascii="Arial" w:hAnsi="Arial" w:cs="Arial"/>
          <w:sz w:val="22"/>
          <w:szCs w:val="22"/>
          <w:lang w:val="en-AU"/>
        </w:rPr>
        <w:t>. Stata 15.1 Statistics/Data Analysis. College</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Station, TX: </w:t>
      </w:r>
      <w:proofErr w:type="spellStart"/>
      <w:r w:rsidRPr="00EC512A">
        <w:rPr>
          <w:rFonts w:ascii="Arial" w:hAnsi="Arial" w:cs="Arial"/>
          <w:sz w:val="22"/>
          <w:szCs w:val="22"/>
          <w:lang w:val="en-AU"/>
        </w:rPr>
        <w:t>StataCorp</w:t>
      </w:r>
      <w:proofErr w:type="spellEnd"/>
      <w:r w:rsidRPr="00EC512A">
        <w:rPr>
          <w:rFonts w:ascii="Arial" w:hAnsi="Arial" w:cs="Arial"/>
          <w:sz w:val="22"/>
          <w:szCs w:val="22"/>
          <w:lang w:val="en-AU"/>
        </w:rPr>
        <w:t xml:space="preserve"> LLC, 2017.</w:t>
      </w:r>
    </w:p>
    <w:p w14:paraId="069B65BE" w14:textId="0BA4A395" w:rsidR="003423A5" w:rsidRPr="00EC512A" w:rsidRDefault="003423A5" w:rsidP="00DE4AC5">
      <w:pPr>
        <w:spacing w:line="480" w:lineRule="auto"/>
        <w:rPr>
          <w:rFonts w:ascii="Arial" w:hAnsi="Arial" w:cs="Arial"/>
          <w:sz w:val="22"/>
          <w:szCs w:val="22"/>
          <w:lang w:val="en-AU"/>
        </w:rPr>
      </w:pPr>
      <w:r w:rsidRPr="00EC512A">
        <w:rPr>
          <w:rFonts w:ascii="Arial" w:hAnsi="Arial" w:cs="Arial"/>
          <w:sz w:val="22"/>
          <w:szCs w:val="22"/>
          <w:lang w:val="en-AU"/>
        </w:rPr>
        <w:t xml:space="preserve">25. </w:t>
      </w:r>
      <w:proofErr w:type="spellStart"/>
      <w:r w:rsidRPr="00EC512A">
        <w:rPr>
          <w:rFonts w:ascii="Arial" w:hAnsi="Arial" w:cs="Arial"/>
          <w:sz w:val="22"/>
          <w:szCs w:val="22"/>
          <w:lang w:val="en-AU"/>
        </w:rPr>
        <w:t>Fraval</w:t>
      </w:r>
      <w:proofErr w:type="spellEnd"/>
      <w:r w:rsidRPr="00EC512A">
        <w:rPr>
          <w:rFonts w:ascii="Arial" w:hAnsi="Arial" w:cs="Arial"/>
          <w:sz w:val="22"/>
          <w:szCs w:val="22"/>
          <w:lang w:val="en-AU"/>
        </w:rPr>
        <w:t xml:space="preserve"> A, </w:t>
      </w:r>
      <w:proofErr w:type="spellStart"/>
      <w:r w:rsidRPr="00EC512A">
        <w:rPr>
          <w:rFonts w:ascii="Arial" w:hAnsi="Arial" w:cs="Arial"/>
          <w:sz w:val="22"/>
          <w:szCs w:val="22"/>
          <w:lang w:val="en-AU"/>
        </w:rPr>
        <w:t>Effeney</w:t>
      </w:r>
      <w:proofErr w:type="spellEnd"/>
      <w:r w:rsidRPr="00EC512A">
        <w:rPr>
          <w:rFonts w:ascii="Arial" w:hAnsi="Arial" w:cs="Arial"/>
          <w:sz w:val="22"/>
          <w:szCs w:val="22"/>
          <w:lang w:val="en-AU"/>
        </w:rPr>
        <w:t xml:space="preserve"> P, </w:t>
      </w:r>
      <w:proofErr w:type="spellStart"/>
      <w:r w:rsidRPr="00EC512A">
        <w:rPr>
          <w:rFonts w:ascii="Arial" w:hAnsi="Arial" w:cs="Arial"/>
          <w:sz w:val="22"/>
          <w:szCs w:val="22"/>
          <w:lang w:val="en-AU"/>
        </w:rPr>
        <w:t>Fiddelaers</w:t>
      </w:r>
      <w:proofErr w:type="spellEnd"/>
      <w:r w:rsidRPr="00EC512A">
        <w:rPr>
          <w:rFonts w:ascii="Arial" w:hAnsi="Arial" w:cs="Arial"/>
          <w:sz w:val="22"/>
          <w:szCs w:val="22"/>
          <w:lang w:val="en-AU"/>
        </w:rPr>
        <w:t xml:space="preserve"> L, et al. OBTAIN A: outcome</w:t>
      </w:r>
      <w:r w:rsidR="00E8330D" w:rsidRPr="00EC512A">
        <w:rPr>
          <w:rFonts w:ascii="Arial" w:hAnsi="Arial" w:cs="Arial"/>
          <w:sz w:val="22"/>
          <w:szCs w:val="22"/>
          <w:lang w:val="en-AU"/>
        </w:rPr>
        <w:t xml:space="preserve"> </w:t>
      </w:r>
      <w:r w:rsidRPr="00EC512A">
        <w:rPr>
          <w:rFonts w:ascii="Arial" w:hAnsi="Arial" w:cs="Arial"/>
          <w:sz w:val="22"/>
          <w:szCs w:val="22"/>
          <w:lang w:val="en-AU"/>
        </w:rPr>
        <w:t>benefits of tranexamic acid in hip arthroplasty. A</w:t>
      </w:r>
      <w:r w:rsidR="00DE4AC5">
        <w:rPr>
          <w:rFonts w:ascii="Arial" w:hAnsi="Arial" w:cs="Arial"/>
          <w:sz w:val="22"/>
          <w:szCs w:val="22"/>
          <w:lang w:val="en-AU"/>
        </w:rPr>
        <w:t xml:space="preserve"> </w:t>
      </w:r>
      <w:r w:rsidRPr="00EC512A">
        <w:rPr>
          <w:rFonts w:ascii="Arial" w:hAnsi="Arial" w:cs="Arial"/>
          <w:sz w:val="22"/>
          <w:szCs w:val="22"/>
          <w:lang w:val="en-AU"/>
        </w:rPr>
        <w:t>randomized double-blinded controlled trial. J Arthroplasty</w:t>
      </w:r>
      <w:r w:rsidR="00E8330D" w:rsidRPr="00EC512A">
        <w:rPr>
          <w:rFonts w:ascii="Arial" w:hAnsi="Arial" w:cs="Arial"/>
          <w:sz w:val="22"/>
          <w:szCs w:val="22"/>
          <w:lang w:val="en-AU"/>
        </w:rPr>
        <w:t xml:space="preserve"> </w:t>
      </w:r>
      <w:r w:rsidRPr="00EC512A">
        <w:rPr>
          <w:rFonts w:ascii="Arial" w:hAnsi="Arial" w:cs="Arial"/>
          <w:sz w:val="22"/>
          <w:szCs w:val="22"/>
          <w:lang w:val="en-AU"/>
        </w:rPr>
        <w:t>2017; 32: 1516–119.</w:t>
      </w:r>
    </w:p>
    <w:p w14:paraId="3CB9D4A3" w14:textId="53F8770C"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26. Yamasaki S, Masuhara K and Fuji T. Tranexamic acid</w:t>
      </w:r>
      <w:r w:rsidR="00E8330D" w:rsidRPr="00EC512A">
        <w:rPr>
          <w:rFonts w:ascii="Arial" w:hAnsi="Arial" w:cs="Arial"/>
          <w:sz w:val="22"/>
          <w:szCs w:val="22"/>
          <w:lang w:val="en-AU"/>
        </w:rPr>
        <w:t xml:space="preserve"> </w:t>
      </w:r>
      <w:r w:rsidRPr="00EC512A">
        <w:rPr>
          <w:rFonts w:ascii="Arial" w:hAnsi="Arial" w:cs="Arial"/>
          <w:sz w:val="22"/>
          <w:szCs w:val="22"/>
          <w:lang w:val="en-AU"/>
        </w:rPr>
        <w:t xml:space="preserve">reduces postoperative blood loss in </w:t>
      </w:r>
      <w:proofErr w:type="spellStart"/>
      <w:r w:rsidRPr="00EC512A">
        <w:rPr>
          <w:rFonts w:ascii="Arial" w:hAnsi="Arial" w:cs="Arial"/>
          <w:sz w:val="22"/>
          <w:szCs w:val="22"/>
          <w:lang w:val="en-AU"/>
        </w:rPr>
        <w:t>cementless</w:t>
      </w:r>
      <w:proofErr w:type="spellEnd"/>
      <w:r w:rsidRPr="00EC512A">
        <w:rPr>
          <w:rFonts w:ascii="Arial" w:hAnsi="Arial" w:cs="Arial"/>
          <w:sz w:val="22"/>
          <w:szCs w:val="22"/>
          <w:lang w:val="en-AU"/>
        </w:rPr>
        <w:t xml:space="preserve"> total hip</w:t>
      </w:r>
      <w:r w:rsidR="00E8330D" w:rsidRPr="00EC512A">
        <w:rPr>
          <w:rFonts w:ascii="Arial" w:hAnsi="Arial" w:cs="Arial"/>
          <w:sz w:val="22"/>
          <w:szCs w:val="22"/>
          <w:lang w:val="en-AU"/>
        </w:rPr>
        <w:t xml:space="preserve"> </w:t>
      </w:r>
      <w:r w:rsidRPr="00EC512A">
        <w:rPr>
          <w:rFonts w:ascii="Arial" w:hAnsi="Arial" w:cs="Arial"/>
          <w:sz w:val="22"/>
          <w:szCs w:val="22"/>
          <w:lang w:val="en-AU"/>
        </w:rPr>
        <w:t>arthroplasty. J Bone Joint Surg Am 2005; 87: 766–770.</w:t>
      </w:r>
    </w:p>
    <w:p w14:paraId="56D0D327" w14:textId="4A6E15D3" w:rsidR="003423A5" w:rsidRPr="00EC512A" w:rsidRDefault="003423A5" w:rsidP="00DE4AC5">
      <w:pPr>
        <w:spacing w:line="480" w:lineRule="auto"/>
        <w:rPr>
          <w:rFonts w:ascii="Arial" w:hAnsi="Arial" w:cs="Arial"/>
          <w:sz w:val="22"/>
          <w:szCs w:val="22"/>
          <w:lang w:val="en-AU"/>
        </w:rPr>
      </w:pPr>
      <w:r w:rsidRPr="00EC512A">
        <w:rPr>
          <w:rFonts w:ascii="Arial" w:hAnsi="Arial" w:cs="Arial"/>
          <w:sz w:val="22"/>
          <w:szCs w:val="22"/>
          <w:lang w:val="en-AU"/>
        </w:rPr>
        <w:t xml:space="preserve">27. Wind TC, Barfield WR and </w:t>
      </w:r>
      <w:proofErr w:type="spellStart"/>
      <w:r w:rsidRPr="00EC512A">
        <w:rPr>
          <w:rFonts w:ascii="Arial" w:hAnsi="Arial" w:cs="Arial"/>
          <w:sz w:val="22"/>
          <w:szCs w:val="22"/>
          <w:lang w:val="en-AU"/>
        </w:rPr>
        <w:t>Moskal</w:t>
      </w:r>
      <w:proofErr w:type="spellEnd"/>
      <w:r w:rsidRPr="00EC512A">
        <w:rPr>
          <w:rFonts w:ascii="Arial" w:hAnsi="Arial" w:cs="Arial"/>
          <w:sz w:val="22"/>
          <w:szCs w:val="22"/>
          <w:lang w:val="en-AU"/>
        </w:rPr>
        <w:t xml:space="preserve"> JT. The effect of</w:t>
      </w:r>
      <w:r w:rsidR="00E8330D" w:rsidRPr="00EC512A">
        <w:rPr>
          <w:rFonts w:ascii="Arial" w:hAnsi="Arial" w:cs="Arial"/>
          <w:sz w:val="22"/>
          <w:szCs w:val="22"/>
          <w:lang w:val="en-AU"/>
        </w:rPr>
        <w:t xml:space="preserve"> </w:t>
      </w:r>
      <w:r w:rsidRPr="00EC512A">
        <w:rPr>
          <w:rFonts w:ascii="Arial" w:hAnsi="Arial" w:cs="Arial"/>
          <w:sz w:val="22"/>
          <w:szCs w:val="22"/>
          <w:lang w:val="en-AU"/>
        </w:rPr>
        <w:t>tranexamic acid on transfusion rate in primary total hip</w:t>
      </w:r>
      <w:r w:rsidR="00DE4AC5">
        <w:rPr>
          <w:rFonts w:ascii="Arial" w:hAnsi="Arial" w:cs="Arial"/>
          <w:sz w:val="22"/>
          <w:szCs w:val="22"/>
          <w:lang w:val="en-AU"/>
        </w:rPr>
        <w:t xml:space="preserve"> </w:t>
      </w:r>
      <w:r w:rsidRPr="00EC512A">
        <w:rPr>
          <w:rFonts w:ascii="Arial" w:hAnsi="Arial" w:cs="Arial"/>
          <w:sz w:val="22"/>
          <w:szCs w:val="22"/>
          <w:lang w:val="en-AU"/>
        </w:rPr>
        <w:t>arthroplasty. J Arthroplasty 2014; 29: 387–389.</w:t>
      </w:r>
    </w:p>
    <w:p w14:paraId="17AD0FD0" w14:textId="67FAA880"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28. Wei W and Wei B. Comparison of topical and intravenous</w:t>
      </w:r>
      <w:r w:rsidR="00E8330D" w:rsidRPr="00EC512A">
        <w:rPr>
          <w:rFonts w:ascii="Arial" w:hAnsi="Arial" w:cs="Arial"/>
          <w:sz w:val="22"/>
          <w:szCs w:val="22"/>
          <w:lang w:val="en-AU"/>
        </w:rPr>
        <w:t xml:space="preserve"> </w:t>
      </w:r>
      <w:r w:rsidRPr="00EC512A">
        <w:rPr>
          <w:rFonts w:ascii="Arial" w:hAnsi="Arial" w:cs="Arial"/>
          <w:sz w:val="22"/>
          <w:szCs w:val="22"/>
          <w:lang w:val="en-AU"/>
        </w:rPr>
        <w:t>tranexamic acid on blood loss and transfusion rates in total</w:t>
      </w:r>
      <w:r w:rsidR="00E8330D" w:rsidRPr="00EC512A">
        <w:rPr>
          <w:rFonts w:ascii="Arial" w:hAnsi="Arial" w:cs="Arial"/>
          <w:sz w:val="22"/>
          <w:szCs w:val="22"/>
          <w:lang w:val="en-AU"/>
        </w:rPr>
        <w:t xml:space="preserve"> </w:t>
      </w:r>
      <w:r w:rsidRPr="00EC512A">
        <w:rPr>
          <w:rFonts w:ascii="Arial" w:hAnsi="Arial" w:cs="Arial"/>
          <w:sz w:val="22"/>
          <w:szCs w:val="22"/>
          <w:lang w:val="en-AU"/>
        </w:rPr>
        <w:t>hip arthroplasty. J Arthroplasty 2014; 29: 2113–2116.</w:t>
      </w:r>
    </w:p>
    <w:p w14:paraId="6527AF87" w14:textId="3216618E"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29. North WT, Mehran N, Davis JJ, et al. Topical vs intravenous</w:t>
      </w:r>
      <w:r w:rsidR="00E8330D" w:rsidRPr="00EC512A">
        <w:rPr>
          <w:rFonts w:ascii="Arial" w:hAnsi="Arial" w:cs="Arial"/>
          <w:sz w:val="22"/>
          <w:szCs w:val="22"/>
          <w:lang w:val="en-AU"/>
        </w:rPr>
        <w:t xml:space="preserve"> </w:t>
      </w:r>
      <w:r w:rsidRPr="00EC512A">
        <w:rPr>
          <w:rFonts w:ascii="Arial" w:hAnsi="Arial" w:cs="Arial"/>
          <w:sz w:val="22"/>
          <w:szCs w:val="22"/>
          <w:lang w:val="en-AU"/>
        </w:rPr>
        <w:t>tranexamic acid in primary total hip arthroplasty: a</w:t>
      </w:r>
      <w:r w:rsidR="00E8330D" w:rsidRPr="00EC512A">
        <w:rPr>
          <w:rFonts w:ascii="Arial" w:hAnsi="Arial" w:cs="Arial"/>
          <w:sz w:val="22"/>
          <w:szCs w:val="22"/>
          <w:lang w:val="en-AU"/>
        </w:rPr>
        <w:t xml:space="preserve"> </w:t>
      </w:r>
      <w:r w:rsidRPr="00EC512A">
        <w:rPr>
          <w:rFonts w:ascii="Arial" w:hAnsi="Arial" w:cs="Arial"/>
          <w:sz w:val="22"/>
          <w:szCs w:val="22"/>
          <w:lang w:val="en-AU"/>
        </w:rPr>
        <w:t>double-blind, randomized controlled trial. J Arthroplasty</w:t>
      </w:r>
      <w:r w:rsidR="00E8330D" w:rsidRPr="00EC512A">
        <w:rPr>
          <w:rFonts w:ascii="Arial" w:hAnsi="Arial" w:cs="Arial"/>
          <w:sz w:val="22"/>
          <w:szCs w:val="22"/>
          <w:lang w:val="en-AU"/>
        </w:rPr>
        <w:t xml:space="preserve"> </w:t>
      </w:r>
      <w:r w:rsidRPr="00EC512A">
        <w:rPr>
          <w:rFonts w:ascii="Arial" w:hAnsi="Arial" w:cs="Arial"/>
          <w:sz w:val="22"/>
          <w:szCs w:val="22"/>
          <w:lang w:val="en-AU"/>
        </w:rPr>
        <w:t>2016; 31: 1022–1026.</w:t>
      </w:r>
    </w:p>
    <w:p w14:paraId="101FE303" w14:textId="284811F9"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30. Cao G, Huang Q, Huang Z, et al. The efficacy and safety</w:t>
      </w:r>
      <w:r w:rsidR="00E8330D" w:rsidRPr="00EC512A">
        <w:rPr>
          <w:rFonts w:ascii="Arial" w:hAnsi="Arial" w:cs="Arial"/>
          <w:sz w:val="22"/>
          <w:szCs w:val="22"/>
          <w:lang w:val="en-AU"/>
        </w:rPr>
        <w:t xml:space="preserve"> </w:t>
      </w:r>
      <w:r w:rsidRPr="00EC512A">
        <w:rPr>
          <w:rFonts w:ascii="Arial" w:hAnsi="Arial" w:cs="Arial"/>
          <w:sz w:val="22"/>
          <w:szCs w:val="22"/>
          <w:lang w:val="en-AU"/>
        </w:rPr>
        <w:t>of multiple-dose oral tranexamic acid on blood loss following</w:t>
      </w:r>
      <w:r w:rsidR="00E8330D" w:rsidRPr="00EC512A">
        <w:rPr>
          <w:rFonts w:ascii="Arial" w:hAnsi="Arial" w:cs="Arial"/>
          <w:sz w:val="22"/>
          <w:szCs w:val="22"/>
          <w:lang w:val="en-AU"/>
        </w:rPr>
        <w:t xml:space="preserve"> </w:t>
      </w:r>
      <w:r w:rsidRPr="00EC512A">
        <w:rPr>
          <w:rFonts w:ascii="Arial" w:hAnsi="Arial" w:cs="Arial"/>
          <w:sz w:val="22"/>
          <w:szCs w:val="22"/>
          <w:lang w:val="en-AU"/>
        </w:rPr>
        <w:t>total hip arthroplasty: a randomized controlled trial. Int</w:t>
      </w:r>
      <w:r w:rsidR="00E8330D" w:rsidRPr="00EC512A">
        <w:rPr>
          <w:rFonts w:ascii="Arial" w:hAnsi="Arial" w:cs="Arial"/>
          <w:sz w:val="22"/>
          <w:szCs w:val="22"/>
          <w:lang w:val="en-AU"/>
        </w:rPr>
        <w:t xml:space="preserve"> </w:t>
      </w:r>
      <w:proofErr w:type="spellStart"/>
      <w:r w:rsidRPr="00EC512A">
        <w:rPr>
          <w:rFonts w:ascii="Arial" w:hAnsi="Arial" w:cs="Arial"/>
          <w:sz w:val="22"/>
          <w:szCs w:val="22"/>
          <w:lang w:val="en-AU"/>
        </w:rPr>
        <w:t>Orthop</w:t>
      </w:r>
      <w:proofErr w:type="spellEnd"/>
      <w:r w:rsidRPr="00EC512A">
        <w:rPr>
          <w:rFonts w:ascii="Arial" w:hAnsi="Arial" w:cs="Arial"/>
          <w:sz w:val="22"/>
          <w:szCs w:val="22"/>
          <w:lang w:val="en-AU"/>
        </w:rPr>
        <w:t xml:space="preserve">. </w:t>
      </w:r>
      <w:proofErr w:type="spellStart"/>
      <w:r w:rsidRPr="00EC512A">
        <w:rPr>
          <w:rFonts w:ascii="Arial" w:hAnsi="Arial" w:cs="Arial"/>
          <w:sz w:val="22"/>
          <w:szCs w:val="22"/>
          <w:lang w:val="en-AU"/>
        </w:rPr>
        <w:t>Epub</w:t>
      </w:r>
      <w:proofErr w:type="spellEnd"/>
      <w:r w:rsidRPr="00EC512A">
        <w:rPr>
          <w:rFonts w:ascii="Arial" w:hAnsi="Arial" w:cs="Arial"/>
          <w:sz w:val="22"/>
          <w:szCs w:val="22"/>
          <w:lang w:val="en-AU"/>
        </w:rPr>
        <w:t xml:space="preserve"> ahead of print 10 April 2018. DOI: 10.1007/s00264–018–3925–8.</w:t>
      </w:r>
    </w:p>
    <w:p w14:paraId="4E1675EA" w14:textId="2BE1AB68" w:rsidR="003423A5" w:rsidRPr="00EC512A" w:rsidRDefault="003423A5" w:rsidP="00E8330D">
      <w:pPr>
        <w:spacing w:line="480" w:lineRule="auto"/>
        <w:rPr>
          <w:rFonts w:ascii="Arial" w:hAnsi="Arial" w:cs="Arial"/>
          <w:sz w:val="22"/>
          <w:szCs w:val="22"/>
          <w:lang w:val="en-AU"/>
        </w:rPr>
      </w:pPr>
      <w:r w:rsidRPr="00EC512A">
        <w:rPr>
          <w:rFonts w:ascii="Arial" w:hAnsi="Arial" w:cs="Arial"/>
          <w:sz w:val="22"/>
          <w:szCs w:val="22"/>
          <w:lang w:val="en-AU"/>
        </w:rPr>
        <w:t xml:space="preserve">31. </w:t>
      </w:r>
      <w:proofErr w:type="spellStart"/>
      <w:r w:rsidRPr="00EC512A">
        <w:rPr>
          <w:rFonts w:ascii="Arial" w:hAnsi="Arial" w:cs="Arial"/>
          <w:sz w:val="22"/>
          <w:szCs w:val="22"/>
          <w:lang w:val="en-AU"/>
        </w:rPr>
        <w:t>Konig</w:t>
      </w:r>
      <w:proofErr w:type="spellEnd"/>
      <w:r w:rsidRPr="00EC512A">
        <w:rPr>
          <w:rFonts w:ascii="Arial" w:hAnsi="Arial" w:cs="Arial"/>
          <w:sz w:val="22"/>
          <w:szCs w:val="22"/>
          <w:lang w:val="en-AU"/>
        </w:rPr>
        <w:t xml:space="preserve"> G, Hamlin BR and Waters JH. Topical tranexamic</w:t>
      </w:r>
      <w:r w:rsidR="00E8330D" w:rsidRPr="00EC512A">
        <w:rPr>
          <w:rFonts w:ascii="Arial" w:hAnsi="Arial" w:cs="Arial"/>
          <w:sz w:val="22"/>
          <w:szCs w:val="22"/>
          <w:lang w:val="en-AU"/>
        </w:rPr>
        <w:t xml:space="preserve"> </w:t>
      </w:r>
      <w:r w:rsidRPr="00EC512A">
        <w:rPr>
          <w:rFonts w:ascii="Arial" w:hAnsi="Arial" w:cs="Arial"/>
          <w:sz w:val="22"/>
          <w:szCs w:val="22"/>
          <w:lang w:val="en-AU"/>
        </w:rPr>
        <w:t>acid reduces blood loss and transfusion rates in total hip and</w:t>
      </w:r>
      <w:r w:rsidR="00E8330D" w:rsidRPr="00EC512A">
        <w:rPr>
          <w:rFonts w:ascii="Arial" w:hAnsi="Arial" w:cs="Arial"/>
          <w:sz w:val="22"/>
          <w:szCs w:val="22"/>
          <w:lang w:val="en-AU"/>
        </w:rPr>
        <w:t xml:space="preserve"> </w:t>
      </w:r>
      <w:r w:rsidRPr="00EC512A">
        <w:rPr>
          <w:rFonts w:ascii="Arial" w:hAnsi="Arial" w:cs="Arial"/>
          <w:sz w:val="22"/>
          <w:szCs w:val="22"/>
          <w:lang w:val="en-AU"/>
        </w:rPr>
        <w:t>total knee arthroplasty. J Arthroplasty 2013; 28: 1473–1476.</w:t>
      </w:r>
    </w:p>
    <w:p w14:paraId="6552C214" w14:textId="749F4D19" w:rsidR="003423A5" w:rsidRPr="00EC512A" w:rsidRDefault="003423A5" w:rsidP="00DE4AC5">
      <w:pPr>
        <w:spacing w:line="480" w:lineRule="auto"/>
        <w:rPr>
          <w:rFonts w:ascii="Arial" w:hAnsi="Arial" w:cs="Arial"/>
          <w:sz w:val="22"/>
          <w:szCs w:val="22"/>
          <w:lang w:val="en-AU"/>
        </w:rPr>
      </w:pPr>
      <w:r w:rsidRPr="00EC512A">
        <w:rPr>
          <w:rFonts w:ascii="Arial" w:hAnsi="Arial" w:cs="Arial"/>
          <w:sz w:val="22"/>
          <w:szCs w:val="22"/>
          <w:lang w:val="en-AU"/>
        </w:rPr>
        <w:t xml:space="preserve">32. </w:t>
      </w:r>
      <w:proofErr w:type="spellStart"/>
      <w:r w:rsidRPr="00EC512A">
        <w:rPr>
          <w:rFonts w:ascii="Arial" w:hAnsi="Arial" w:cs="Arial"/>
          <w:sz w:val="22"/>
          <w:szCs w:val="22"/>
          <w:lang w:val="en-AU"/>
        </w:rPr>
        <w:t>Ralley</w:t>
      </w:r>
      <w:proofErr w:type="spellEnd"/>
      <w:r w:rsidRPr="00EC512A">
        <w:rPr>
          <w:rFonts w:ascii="Arial" w:hAnsi="Arial" w:cs="Arial"/>
          <w:sz w:val="22"/>
          <w:szCs w:val="22"/>
          <w:lang w:val="en-AU"/>
        </w:rPr>
        <w:t xml:space="preserve"> FE, Berta D, </w:t>
      </w:r>
      <w:proofErr w:type="spellStart"/>
      <w:r w:rsidRPr="00EC512A">
        <w:rPr>
          <w:rFonts w:ascii="Arial" w:hAnsi="Arial" w:cs="Arial"/>
          <w:sz w:val="22"/>
          <w:szCs w:val="22"/>
          <w:lang w:val="en-AU"/>
        </w:rPr>
        <w:t>Binns</w:t>
      </w:r>
      <w:proofErr w:type="spellEnd"/>
      <w:r w:rsidRPr="00EC512A">
        <w:rPr>
          <w:rFonts w:ascii="Arial" w:hAnsi="Arial" w:cs="Arial"/>
          <w:sz w:val="22"/>
          <w:szCs w:val="22"/>
          <w:lang w:val="en-AU"/>
        </w:rPr>
        <w:t xml:space="preserve"> V, et al. One intraoperative</w:t>
      </w:r>
      <w:r w:rsidR="00E8330D" w:rsidRPr="00EC512A">
        <w:rPr>
          <w:rFonts w:ascii="Arial" w:hAnsi="Arial" w:cs="Arial"/>
          <w:sz w:val="22"/>
          <w:szCs w:val="22"/>
          <w:lang w:val="en-AU"/>
        </w:rPr>
        <w:t xml:space="preserve"> </w:t>
      </w:r>
      <w:r w:rsidRPr="00EC512A">
        <w:rPr>
          <w:rFonts w:ascii="Arial" w:hAnsi="Arial" w:cs="Arial"/>
          <w:sz w:val="22"/>
          <w:szCs w:val="22"/>
          <w:lang w:val="en-AU"/>
        </w:rPr>
        <w:t>dose of tranexamic acid for patients having primary hip</w:t>
      </w:r>
      <w:r w:rsidR="00DE4AC5">
        <w:rPr>
          <w:rFonts w:ascii="Arial" w:hAnsi="Arial" w:cs="Arial"/>
          <w:sz w:val="22"/>
          <w:szCs w:val="22"/>
          <w:lang w:val="en-AU"/>
        </w:rPr>
        <w:t xml:space="preserve"> </w:t>
      </w:r>
      <w:r w:rsidRPr="00EC512A">
        <w:rPr>
          <w:rFonts w:ascii="Arial" w:hAnsi="Arial" w:cs="Arial"/>
          <w:sz w:val="22"/>
          <w:szCs w:val="22"/>
          <w:lang w:val="en-AU"/>
        </w:rPr>
        <w:t xml:space="preserve">or knee arthroplasty. Clin </w:t>
      </w:r>
      <w:proofErr w:type="spellStart"/>
      <w:r w:rsidRPr="00EC512A">
        <w:rPr>
          <w:rFonts w:ascii="Arial" w:hAnsi="Arial" w:cs="Arial"/>
          <w:sz w:val="22"/>
          <w:szCs w:val="22"/>
          <w:lang w:val="en-AU"/>
        </w:rPr>
        <w:t>Orthop</w:t>
      </w:r>
      <w:proofErr w:type="spellEnd"/>
      <w:r w:rsidRPr="00EC512A">
        <w:rPr>
          <w:rFonts w:ascii="Arial" w:hAnsi="Arial" w:cs="Arial"/>
          <w:sz w:val="22"/>
          <w:szCs w:val="22"/>
          <w:lang w:val="en-AU"/>
        </w:rPr>
        <w:t xml:space="preserve"> </w:t>
      </w:r>
      <w:proofErr w:type="spellStart"/>
      <w:r w:rsidRPr="00EC512A">
        <w:rPr>
          <w:rFonts w:ascii="Arial" w:hAnsi="Arial" w:cs="Arial"/>
          <w:sz w:val="22"/>
          <w:szCs w:val="22"/>
          <w:lang w:val="en-AU"/>
        </w:rPr>
        <w:t>Relat</w:t>
      </w:r>
      <w:proofErr w:type="spellEnd"/>
      <w:r w:rsidRPr="00EC512A">
        <w:rPr>
          <w:rFonts w:ascii="Arial" w:hAnsi="Arial" w:cs="Arial"/>
          <w:sz w:val="22"/>
          <w:szCs w:val="22"/>
          <w:lang w:val="en-AU"/>
        </w:rPr>
        <w:t xml:space="preserve"> Res 2010; 468:</w:t>
      </w:r>
      <w:r w:rsidR="00E8330D" w:rsidRPr="00EC512A">
        <w:rPr>
          <w:rFonts w:ascii="Arial" w:hAnsi="Arial" w:cs="Arial"/>
          <w:sz w:val="22"/>
          <w:szCs w:val="22"/>
          <w:lang w:val="en-AU"/>
        </w:rPr>
        <w:t xml:space="preserve"> </w:t>
      </w:r>
      <w:r w:rsidRPr="00EC512A">
        <w:rPr>
          <w:rFonts w:ascii="Arial" w:hAnsi="Arial" w:cs="Arial"/>
          <w:sz w:val="22"/>
          <w:szCs w:val="22"/>
          <w:lang w:val="en-AU"/>
        </w:rPr>
        <w:t>1905–1911.</w:t>
      </w:r>
    </w:p>
    <w:p w14:paraId="3DAC8BB4" w14:textId="16BCC7EA" w:rsidR="00C945E1" w:rsidRDefault="009A7461" w:rsidP="009A7461">
      <w:pPr>
        <w:spacing w:line="480" w:lineRule="auto"/>
        <w:rPr>
          <w:rFonts w:cs="Arial"/>
        </w:rPr>
      </w:pPr>
      <w:r>
        <w:rPr>
          <w:rFonts w:cs="Arial"/>
        </w:rPr>
        <w:br w:type="page"/>
      </w:r>
    </w:p>
    <w:p w14:paraId="04891354" w14:textId="369268D0" w:rsidR="00AF4B7A" w:rsidRPr="00B95BB1" w:rsidRDefault="00AF4B7A" w:rsidP="00B95BB1">
      <w:pPr>
        <w:spacing w:line="480" w:lineRule="auto"/>
        <w:outlineLvl w:val="0"/>
        <w:rPr>
          <w:rFonts w:ascii="Arial" w:hAnsi="Arial" w:cs="Arial"/>
        </w:rPr>
      </w:pPr>
      <w:r w:rsidRPr="00B95BB1">
        <w:rPr>
          <w:rFonts w:ascii="Arial" w:hAnsi="Arial" w:cs="Arial"/>
          <w:b/>
          <w:lang w:val="en-AU"/>
        </w:rPr>
        <w:lastRenderedPageBreak/>
        <w:t>TABLES</w:t>
      </w:r>
    </w:p>
    <w:p w14:paraId="25B0FCFF" w14:textId="2A542646" w:rsidR="00AF4B7A" w:rsidRPr="00B95BB1" w:rsidRDefault="00BE5BF1" w:rsidP="009A7461">
      <w:pPr>
        <w:spacing w:line="480" w:lineRule="auto"/>
        <w:outlineLvl w:val="0"/>
        <w:rPr>
          <w:rFonts w:ascii="Arial" w:hAnsi="Arial" w:cs="Arial"/>
          <w:sz w:val="20"/>
          <w:lang w:val="en-AU"/>
        </w:rPr>
      </w:pPr>
      <w:r w:rsidRPr="00B95BB1">
        <w:rPr>
          <w:rFonts w:ascii="Arial" w:hAnsi="Arial" w:cs="Arial"/>
          <w:b/>
          <w:sz w:val="20"/>
          <w:lang w:val="en-AU"/>
        </w:rPr>
        <w:t>Table 1:</w:t>
      </w:r>
      <w:r w:rsidRPr="00B95BB1">
        <w:rPr>
          <w:rFonts w:ascii="Arial" w:hAnsi="Arial" w:cs="Arial"/>
          <w:sz w:val="20"/>
          <w:lang w:val="en-AU"/>
        </w:rPr>
        <w:t xml:space="preserve"> Patient demographic</w:t>
      </w:r>
      <w:r w:rsidR="00AF4B7A" w:rsidRPr="00B95BB1">
        <w:rPr>
          <w:rFonts w:ascii="Arial" w:hAnsi="Arial" w:cs="Arial"/>
          <w:sz w:val="20"/>
          <w:lang w:val="en-AU"/>
        </w:rPr>
        <w:t xml:space="preserve"> characteristics and details</w:t>
      </w:r>
    </w:p>
    <w:tbl>
      <w:tblPr>
        <w:tblStyle w:val="TableGrid"/>
        <w:tblW w:w="9010" w:type="dxa"/>
        <w:tblLook w:val="04A0" w:firstRow="1" w:lastRow="0" w:firstColumn="1" w:lastColumn="0" w:noHBand="0" w:noVBand="1"/>
      </w:tblPr>
      <w:tblGrid>
        <w:gridCol w:w="3656"/>
        <w:gridCol w:w="1862"/>
        <w:gridCol w:w="1790"/>
        <w:gridCol w:w="1702"/>
      </w:tblGrid>
      <w:tr w:rsidR="00AE5EB0" w:rsidRPr="00B95BB1" w14:paraId="60AE4F6A" w14:textId="1364BCDC" w:rsidTr="00FD10D3">
        <w:trPr>
          <w:trHeight w:val="722"/>
        </w:trPr>
        <w:tc>
          <w:tcPr>
            <w:tcW w:w="3656" w:type="dxa"/>
            <w:vMerge w:val="restart"/>
            <w:vAlign w:val="center"/>
          </w:tcPr>
          <w:p w14:paraId="11E68C98" w14:textId="77777777" w:rsidR="00AE5EB0" w:rsidRPr="00B95BB1" w:rsidRDefault="00AE5EB0" w:rsidP="009A7461">
            <w:pPr>
              <w:spacing w:line="480" w:lineRule="auto"/>
              <w:rPr>
                <w:rFonts w:ascii="Arial" w:hAnsi="Arial" w:cs="Arial"/>
                <w:b/>
                <w:bCs/>
                <w:sz w:val="16"/>
                <w:szCs w:val="16"/>
                <w:lang w:val="en-AU"/>
              </w:rPr>
            </w:pPr>
            <w:r w:rsidRPr="00B95BB1">
              <w:rPr>
                <w:rFonts w:ascii="Arial" w:hAnsi="Arial" w:cs="Arial"/>
                <w:b/>
                <w:bCs/>
                <w:sz w:val="16"/>
                <w:szCs w:val="16"/>
                <w:lang w:val="en-AU"/>
              </w:rPr>
              <w:t>Characteristic</w:t>
            </w:r>
          </w:p>
        </w:tc>
        <w:tc>
          <w:tcPr>
            <w:tcW w:w="1862" w:type="dxa"/>
            <w:vAlign w:val="center"/>
          </w:tcPr>
          <w:p w14:paraId="54AC6169" w14:textId="77777777" w:rsidR="00AE5EB0" w:rsidRPr="00B95BB1" w:rsidRDefault="00AE5EB0" w:rsidP="009A7461">
            <w:pPr>
              <w:spacing w:line="480" w:lineRule="auto"/>
              <w:rPr>
                <w:rFonts w:ascii="Arial" w:hAnsi="Arial" w:cs="Arial"/>
                <w:b/>
                <w:bCs/>
                <w:sz w:val="16"/>
                <w:szCs w:val="16"/>
                <w:lang w:val="en-AU"/>
              </w:rPr>
            </w:pPr>
            <w:r w:rsidRPr="00B95BB1">
              <w:rPr>
                <w:rFonts w:ascii="Arial" w:hAnsi="Arial" w:cs="Arial"/>
                <w:b/>
                <w:bCs/>
                <w:sz w:val="16"/>
                <w:szCs w:val="16"/>
                <w:lang w:val="en-AU"/>
              </w:rPr>
              <w:t>DAA without TXA (n=63)</w:t>
            </w:r>
          </w:p>
        </w:tc>
        <w:tc>
          <w:tcPr>
            <w:tcW w:w="1790" w:type="dxa"/>
            <w:vAlign w:val="center"/>
          </w:tcPr>
          <w:p w14:paraId="7421C9D7" w14:textId="77777777" w:rsidR="00AE5EB0" w:rsidRPr="00B95BB1" w:rsidRDefault="00AE5EB0" w:rsidP="009A7461">
            <w:pPr>
              <w:spacing w:line="480" w:lineRule="auto"/>
              <w:rPr>
                <w:rFonts w:ascii="Arial" w:hAnsi="Arial" w:cs="Arial"/>
                <w:b/>
                <w:bCs/>
                <w:sz w:val="16"/>
                <w:szCs w:val="16"/>
                <w:lang w:val="en-AU"/>
              </w:rPr>
            </w:pPr>
            <w:r w:rsidRPr="00B95BB1">
              <w:rPr>
                <w:rFonts w:ascii="Arial" w:hAnsi="Arial" w:cs="Arial"/>
                <w:b/>
                <w:bCs/>
                <w:sz w:val="16"/>
                <w:szCs w:val="16"/>
                <w:lang w:val="en-AU"/>
              </w:rPr>
              <w:t>DAA with TXA (n=83)</w:t>
            </w:r>
          </w:p>
        </w:tc>
        <w:tc>
          <w:tcPr>
            <w:tcW w:w="1702" w:type="dxa"/>
          </w:tcPr>
          <w:p w14:paraId="1AAE045D" w14:textId="707D64EB" w:rsidR="00AE5EB0" w:rsidRPr="00B95BB1" w:rsidRDefault="00AE5EB0" w:rsidP="009A7461">
            <w:pPr>
              <w:spacing w:line="480" w:lineRule="auto"/>
              <w:rPr>
                <w:rFonts w:ascii="Arial" w:hAnsi="Arial" w:cs="Arial"/>
                <w:b/>
                <w:bCs/>
                <w:sz w:val="16"/>
                <w:szCs w:val="16"/>
                <w:lang w:val="en-AU"/>
              </w:rPr>
            </w:pPr>
            <w:r>
              <w:rPr>
                <w:rFonts w:ascii="Arial" w:hAnsi="Arial" w:cs="Arial"/>
                <w:b/>
                <w:bCs/>
                <w:sz w:val="16"/>
                <w:szCs w:val="16"/>
                <w:lang w:val="en-AU"/>
              </w:rPr>
              <w:t>p-value</w:t>
            </w:r>
          </w:p>
        </w:tc>
      </w:tr>
      <w:tr w:rsidR="00AE5EB0" w:rsidRPr="00B95BB1" w14:paraId="07780512" w14:textId="20EA1F5B" w:rsidTr="00FD10D3">
        <w:trPr>
          <w:trHeight w:val="250"/>
        </w:trPr>
        <w:tc>
          <w:tcPr>
            <w:tcW w:w="3656" w:type="dxa"/>
            <w:vMerge/>
          </w:tcPr>
          <w:p w14:paraId="1A2975B8" w14:textId="77777777" w:rsidR="00AE5EB0" w:rsidRPr="00B95BB1" w:rsidRDefault="00AE5EB0" w:rsidP="009A7461">
            <w:pPr>
              <w:spacing w:line="480" w:lineRule="auto"/>
              <w:rPr>
                <w:rFonts w:ascii="Arial" w:hAnsi="Arial" w:cs="Arial"/>
                <w:b/>
                <w:bCs/>
                <w:sz w:val="16"/>
                <w:szCs w:val="16"/>
                <w:lang w:val="en-AU"/>
              </w:rPr>
            </w:pPr>
          </w:p>
        </w:tc>
        <w:tc>
          <w:tcPr>
            <w:tcW w:w="1862" w:type="dxa"/>
            <w:vAlign w:val="center"/>
          </w:tcPr>
          <w:p w14:paraId="4395D003" w14:textId="77777777" w:rsidR="00AE5EB0" w:rsidRPr="00B95BB1" w:rsidRDefault="00AE5EB0" w:rsidP="009A7461">
            <w:pPr>
              <w:spacing w:line="480" w:lineRule="auto"/>
              <w:rPr>
                <w:rFonts w:ascii="Arial" w:hAnsi="Arial" w:cs="Arial"/>
                <w:b/>
                <w:bCs/>
                <w:sz w:val="16"/>
                <w:szCs w:val="16"/>
                <w:lang w:val="en-AU"/>
              </w:rPr>
            </w:pPr>
            <w:r w:rsidRPr="00B95BB1">
              <w:rPr>
                <w:rFonts w:ascii="Arial" w:hAnsi="Arial" w:cs="Arial"/>
                <w:b/>
                <w:bCs/>
                <w:sz w:val="16"/>
                <w:szCs w:val="16"/>
                <w:lang w:val="en-AU"/>
              </w:rPr>
              <w:t>n (%) or mean (SD)</w:t>
            </w:r>
          </w:p>
        </w:tc>
        <w:tc>
          <w:tcPr>
            <w:tcW w:w="1790" w:type="dxa"/>
            <w:vAlign w:val="center"/>
          </w:tcPr>
          <w:p w14:paraId="6559D775" w14:textId="77777777" w:rsidR="00AE5EB0" w:rsidRPr="00B95BB1" w:rsidRDefault="00AE5EB0" w:rsidP="009A7461">
            <w:pPr>
              <w:spacing w:line="480" w:lineRule="auto"/>
              <w:rPr>
                <w:rFonts w:ascii="Arial" w:hAnsi="Arial" w:cs="Arial"/>
                <w:b/>
                <w:bCs/>
                <w:sz w:val="16"/>
                <w:szCs w:val="16"/>
                <w:lang w:val="en-AU"/>
              </w:rPr>
            </w:pPr>
            <w:r w:rsidRPr="00B95BB1">
              <w:rPr>
                <w:rFonts w:ascii="Arial" w:hAnsi="Arial" w:cs="Arial"/>
                <w:b/>
                <w:bCs/>
                <w:sz w:val="16"/>
                <w:szCs w:val="16"/>
                <w:lang w:val="en-AU"/>
              </w:rPr>
              <w:t>n (%) or mean (SD)</w:t>
            </w:r>
          </w:p>
        </w:tc>
        <w:tc>
          <w:tcPr>
            <w:tcW w:w="1702" w:type="dxa"/>
          </w:tcPr>
          <w:p w14:paraId="50C1A90B" w14:textId="77777777" w:rsidR="00AE5EB0" w:rsidRPr="00B95BB1" w:rsidRDefault="00AE5EB0" w:rsidP="009A7461">
            <w:pPr>
              <w:spacing w:line="480" w:lineRule="auto"/>
              <w:rPr>
                <w:rFonts w:ascii="Arial" w:hAnsi="Arial" w:cs="Arial"/>
                <w:b/>
                <w:bCs/>
                <w:sz w:val="16"/>
                <w:szCs w:val="16"/>
                <w:lang w:val="en-AU"/>
              </w:rPr>
            </w:pPr>
          </w:p>
        </w:tc>
      </w:tr>
      <w:tr w:rsidR="00AE5EB0" w:rsidRPr="00B95BB1" w14:paraId="2CA86BDE" w14:textId="307EF3AC" w:rsidTr="00FD10D3">
        <w:trPr>
          <w:trHeight w:val="289"/>
        </w:trPr>
        <w:tc>
          <w:tcPr>
            <w:tcW w:w="3656" w:type="dxa"/>
          </w:tcPr>
          <w:p w14:paraId="2267312C"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Age (mean years)</w:t>
            </w:r>
          </w:p>
        </w:tc>
        <w:tc>
          <w:tcPr>
            <w:tcW w:w="1862" w:type="dxa"/>
          </w:tcPr>
          <w:p w14:paraId="6BD6303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64.5 (12.4)</w:t>
            </w:r>
          </w:p>
        </w:tc>
        <w:tc>
          <w:tcPr>
            <w:tcW w:w="1790" w:type="dxa"/>
          </w:tcPr>
          <w:p w14:paraId="13046F8C"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68.0 (9.3)</w:t>
            </w:r>
          </w:p>
        </w:tc>
        <w:tc>
          <w:tcPr>
            <w:tcW w:w="1702" w:type="dxa"/>
          </w:tcPr>
          <w:p w14:paraId="1156DDD0" w14:textId="15957FF6" w:rsidR="00AE5EB0" w:rsidRPr="00B95BB1" w:rsidRDefault="00AE5EB0" w:rsidP="009A7461">
            <w:pPr>
              <w:spacing w:after="120" w:line="480" w:lineRule="auto"/>
              <w:rPr>
                <w:rFonts w:ascii="Arial" w:hAnsi="Arial" w:cs="Arial"/>
                <w:sz w:val="16"/>
                <w:szCs w:val="16"/>
                <w:lang w:val="en-AU"/>
              </w:rPr>
            </w:pPr>
            <w:r>
              <w:rPr>
                <w:rFonts w:ascii="Arial" w:hAnsi="Arial" w:cs="Arial"/>
                <w:sz w:val="16"/>
                <w:szCs w:val="16"/>
                <w:lang w:val="en-AU"/>
              </w:rPr>
              <w:t>0.07</w:t>
            </w:r>
          </w:p>
        </w:tc>
      </w:tr>
      <w:tr w:rsidR="00AE5EB0" w:rsidRPr="00B95BB1" w14:paraId="52EB2E83" w14:textId="4C881D40" w:rsidTr="00FD10D3">
        <w:trPr>
          <w:trHeight w:val="827"/>
        </w:trPr>
        <w:tc>
          <w:tcPr>
            <w:tcW w:w="3656" w:type="dxa"/>
          </w:tcPr>
          <w:p w14:paraId="543EF3F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Gender (%)</w:t>
            </w:r>
          </w:p>
          <w:p w14:paraId="0E226682"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M</w:t>
            </w:r>
          </w:p>
          <w:p w14:paraId="58C354E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F</w:t>
            </w:r>
          </w:p>
        </w:tc>
        <w:tc>
          <w:tcPr>
            <w:tcW w:w="1862" w:type="dxa"/>
          </w:tcPr>
          <w:p w14:paraId="589D0D4A" w14:textId="77777777" w:rsidR="00AE5EB0" w:rsidRPr="00B95BB1" w:rsidRDefault="00AE5EB0" w:rsidP="009A7461">
            <w:pPr>
              <w:spacing w:after="120" w:line="480" w:lineRule="auto"/>
              <w:rPr>
                <w:rFonts w:ascii="Arial" w:hAnsi="Arial" w:cs="Arial"/>
                <w:sz w:val="16"/>
                <w:szCs w:val="16"/>
                <w:lang w:val="en-AU"/>
              </w:rPr>
            </w:pPr>
          </w:p>
          <w:p w14:paraId="1C13B4E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37 (58.7)</w:t>
            </w:r>
          </w:p>
          <w:p w14:paraId="3B0F3C9C"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26 (41.3)</w:t>
            </w:r>
          </w:p>
        </w:tc>
        <w:tc>
          <w:tcPr>
            <w:tcW w:w="1790" w:type="dxa"/>
          </w:tcPr>
          <w:p w14:paraId="529505D6" w14:textId="77777777" w:rsidR="00AE5EB0" w:rsidRPr="00B95BB1" w:rsidRDefault="00AE5EB0" w:rsidP="009A7461">
            <w:pPr>
              <w:spacing w:after="120" w:line="480" w:lineRule="auto"/>
              <w:rPr>
                <w:rFonts w:ascii="Arial" w:hAnsi="Arial" w:cs="Arial"/>
                <w:sz w:val="16"/>
                <w:szCs w:val="16"/>
                <w:lang w:val="en-AU"/>
              </w:rPr>
            </w:pPr>
          </w:p>
          <w:p w14:paraId="3A0DC26D"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39 (47.0)</w:t>
            </w:r>
          </w:p>
          <w:p w14:paraId="3CE8A7B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 xml:space="preserve">44 (53.0) </w:t>
            </w:r>
          </w:p>
        </w:tc>
        <w:tc>
          <w:tcPr>
            <w:tcW w:w="1702" w:type="dxa"/>
          </w:tcPr>
          <w:p w14:paraId="235ACC1F" w14:textId="77777777" w:rsidR="00AE5EB0" w:rsidRDefault="00AE5EB0" w:rsidP="009A7461">
            <w:pPr>
              <w:spacing w:after="120" w:line="480" w:lineRule="auto"/>
              <w:rPr>
                <w:rFonts w:ascii="Arial" w:hAnsi="Arial" w:cs="Arial"/>
                <w:sz w:val="16"/>
                <w:szCs w:val="16"/>
                <w:lang w:val="en-AU"/>
              </w:rPr>
            </w:pPr>
          </w:p>
          <w:p w14:paraId="1CD6EBEE" w14:textId="6D558D3D" w:rsidR="00AE5EB0" w:rsidRPr="00B95BB1" w:rsidRDefault="00AE5EB0" w:rsidP="009A7461">
            <w:pPr>
              <w:spacing w:after="120" w:line="480" w:lineRule="auto"/>
              <w:rPr>
                <w:rFonts w:ascii="Arial" w:hAnsi="Arial" w:cs="Arial"/>
                <w:sz w:val="16"/>
                <w:szCs w:val="16"/>
                <w:lang w:val="en-AU"/>
              </w:rPr>
            </w:pPr>
            <w:r>
              <w:rPr>
                <w:rFonts w:ascii="Arial" w:hAnsi="Arial" w:cs="Arial"/>
                <w:sz w:val="16"/>
                <w:szCs w:val="16"/>
                <w:lang w:val="en-AU"/>
              </w:rPr>
              <w:t>0.16</w:t>
            </w:r>
          </w:p>
        </w:tc>
      </w:tr>
      <w:tr w:rsidR="00AE5EB0" w:rsidRPr="00B95BB1" w14:paraId="5EEB3BFC" w14:textId="7C25CE77" w:rsidTr="00FD10D3">
        <w:trPr>
          <w:trHeight w:val="471"/>
        </w:trPr>
        <w:tc>
          <w:tcPr>
            <w:tcW w:w="3656" w:type="dxa"/>
          </w:tcPr>
          <w:p w14:paraId="2364316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BMI (mean)</w:t>
            </w:r>
          </w:p>
        </w:tc>
        <w:tc>
          <w:tcPr>
            <w:tcW w:w="1862" w:type="dxa"/>
          </w:tcPr>
          <w:p w14:paraId="55C91AA2"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28.9 (5.2)</w:t>
            </w:r>
          </w:p>
        </w:tc>
        <w:tc>
          <w:tcPr>
            <w:tcW w:w="1790" w:type="dxa"/>
          </w:tcPr>
          <w:p w14:paraId="1F0F923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30.7 (6.1)</w:t>
            </w:r>
          </w:p>
        </w:tc>
        <w:tc>
          <w:tcPr>
            <w:tcW w:w="1702" w:type="dxa"/>
          </w:tcPr>
          <w:p w14:paraId="516EB699" w14:textId="06183E0C" w:rsidR="00AE5EB0" w:rsidRPr="00B95BB1" w:rsidRDefault="00AE5EB0" w:rsidP="009A7461">
            <w:pPr>
              <w:spacing w:after="120" w:line="480" w:lineRule="auto"/>
              <w:rPr>
                <w:rFonts w:ascii="Arial" w:hAnsi="Arial" w:cs="Arial"/>
                <w:sz w:val="16"/>
                <w:szCs w:val="16"/>
                <w:lang w:val="en-AU"/>
              </w:rPr>
            </w:pPr>
            <w:r>
              <w:rPr>
                <w:rFonts w:ascii="Arial" w:hAnsi="Arial" w:cs="Arial"/>
                <w:sz w:val="16"/>
                <w:szCs w:val="16"/>
                <w:lang w:val="en-AU"/>
              </w:rPr>
              <w:t>0.07</w:t>
            </w:r>
          </w:p>
        </w:tc>
      </w:tr>
      <w:tr w:rsidR="00AE5EB0" w:rsidRPr="00B95BB1" w14:paraId="7208EAB5" w14:textId="1F5FDFBB" w:rsidTr="00FD10D3">
        <w:trPr>
          <w:trHeight w:val="2390"/>
        </w:trPr>
        <w:tc>
          <w:tcPr>
            <w:tcW w:w="3656" w:type="dxa"/>
          </w:tcPr>
          <w:p w14:paraId="01692D6F"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Comorbidities (%)</w:t>
            </w:r>
          </w:p>
          <w:p w14:paraId="3B00AA9B"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Diabetes</w:t>
            </w:r>
          </w:p>
          <w:p w14:paraId="239DC764"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IHD</w:t>
            </w:r>
          </w:p>
          <w:p w14:paraId="76F7066A"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COAD</w:t>
            </w:r>
          </w:p>
          <w:p w14:paraId="7DBE0E75"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Malignancy</w:t>
            </w:r>
          </w:p>
        </w:tc>
        <w:tc>
          <w:tcPr>
            <w:tcW w:w="1862" w:type="dxa"/>
          </w:tcPr>
          <w:p w14:paraId="7F3DABBD" w14:textId="77777777" w:rsidR="00AE5EB0" w:rsidRPr="00B95BB1" w:rsidRDefault="00AE5EB0" w:rsidP="009A7461">
            <w:pPr>
              <w:spacing w:after="120" w:line="480" w:lineRule="auto"/>
              <w:rPr>
                <w:rFonts w:ascii="Arial" w:hAnsi="Arial" w:cs="Arial"/>
                <w:sz w:val="16"/>
                <w:szCs w:val="16"/>
                <w:lang w:val="en-AU"/>
              </w:rPr>
            </w:pPr>
          </w:p>
          <w:p w14:paraId="7BF280FF"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12 (19.0)</w:t>
            </w:r>
          </w:p>
          <w:p w14:paraId="214BA2E9"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7 (11.1)</w:t>
            </w:r>
          </w:p>
          <w:p w14:paraId="6DB58A40"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9 (14.3)</w:t>
            </w:r>
          </w:p>
          <w:p w14:paraId="6885AFA2"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 (6.3)</w:t>
            </w:r>
          </w:p>
        </w:tc>
        <w:tc>
          <w:tcPr>
            <w:tcW w:w="1790" w:type="dxa"/>
          </w:tcPr>
          <w:p w14:paraId="6BAFD9C0" w14:textId="77777777" w:rsidR="00AE5EB0" w:rsidRPr="00B95BB1" w:rsidRDefault="00AE5EB0" w:rsidP="009A7461">
            <w:pPr>
              <w:spacing w:after="120" w:line="480" w:lineRule="auto"/>
              <w:rPr>
                <w:rFonts w:ascii="Arial" w:hAnsi="Arial" w:cs="Arial"/>
                <w:sz w:val="16"/>
                <w:szCs w:val="16"/>
                <w:lang w:val="en-AU"/>
              </w:rPr>
            </w:pPr>
          </w:p>
          <w:p w14:paraId="54419D4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10 (12.0)</w:t>
            </w:r>
          </w:p>
          <w:p w14:paraId="743B707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13 (15.7)</w:t>
            </w:r>
          </w:p>
          <w:p w14:paraId="2755ECC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16 (19.3)</w:t>
            </w:r>
          </w:p>
          <w:p w14:paraId="266A6C9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12 (14.5)</w:t>
            </w:r>
          </w:p>
        </w:tc>
        <w:tc>
          <w:tcPr>
            <w:tcW w:w="1702" w:type="dxa"/>
          </w:tcPr>
          <w:p w14:paraId="6B110096" w14:textId="77777777" w:rsidR="00AE5EB0" w:rsidRDefault="00AE5EB0" w:rsidP="009A7461">
            <w:pPr>
              <w:spacing w:after="120" w:line="480" w:lineRule="auto"/>
              <w:rPr>
                <w:rFonts w:ascii="Arial" w:hAnsi="Arial" w:cs="Arial"/>
                <w:sz w:val="16"/>
                <w:szCs w:val="16"/>
                <w:lang w:val="en-AU"/>
              </w:rPr>
            </w:pPr>
          </w:p>
          <w:p w14:paraId="06507D78" w14:textId="77777777" w:rsidR="00AE5EB0" w:rsidRDefault="00AE5EB0" w:rsidP="009A7461">
            <w:pPr>
              <w:spacing w:after="120" w:line="480" w:lineRule="auto"/>
              <w:rPr>
                <w:rFonts w:ascii="Arial" w:hAnsi="Arial" w:cs="Arial"/>
                <w:sz w:val="16"/>
                <w:szCs w:val="16"/>
                <w:lang w:val="en-AU"/>
              </w:rPr>
            </w:pPr>
            <w:r>
              <w:rPr>
                <w:rFonts w:ascii="Arial" w:hAnsi="Arial" w:cs="Arial"/>
                <w:sz w:val="16"/>
                <w:szCs w:val="16"/>
                <w:lang w:val="en-AU"/>
              </w:rPr>
              <w:t>0.24</w:t>
            </w:r>
          </w:p>
          <w:p w14:paraId="2A959A96" w14:textId="77777777" w:rsidR="00AE5EB0" w:rsidRDefault="00AE5EB0" w:rsidP="009A7461">
            <w:pPr>
              <w:spacing w:after="120" w:line="480" w:lineRule="auto"/>
              <w:rPr>
                <w:rFonts w:ascii="Arial" w:hAnsi="Arial" w:cs="Arial"/>
                <w:sz w:val="16"/>
                <w:szCs w:val="16"/>
                <w:lang w:val="en-AU"/>
              </w:rPr>
            </w:pPr>
            <w:r>
              <w:rPr>
                <w:rFonts w:ascii="Arial" w:hAnsi="Arial" w:cs="Arial"/>
                <w:sz w:val="16"/>
                <w:szCs w:val="16"/>
                <w:lang w:val="en-AU"/>
              </w:rPr>
              <w:t>0.43</w:t>
            </w:r>
          </w:p>
          <w:p w14:paraId="2F4D9EAF" w14:textId="77777777" w:rsidR="00AE5EB0" w:rsidRDefault="001955D4" w:rsidP="009A7461">
            <w:pPr>
              <w:spacing w:after="120" w:line="480" w:lineRule="auto"/>
              <w:rPr>
                <w:rFonts w:ascii="Arial" w:hAnsi="Arial" w:cs="Arial"/>
                <w:sz w:val="16"/>
                <w:szCs w:val="16"/>
                <w:lang w:val="en-AU"/>
              </w:rPr>
            </w:pPr>
            <w:r>
              <w:rPr>
                <w:rFonts w:ascii="Arial" w:hAnsi="Arial" w:cs="Arial"/>
                <w:sz w:val="16"/>
                <w:szCs w:val="16"/>
                <w:lang w:val="en-AU"/>
              </w:rPr>
              <w:t>0.43</w:t>
            </w:r>
          </w:p>
          <w:p w14:paraId="3C16BBBC" w14:textId="4FCD70B9" w:rsidR="001955D4"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0.12</w:t>
            </w:r>
          </w:p>
        </w:tc>
      </w:tr>
      <w:tr w:rsidR="00AE5EB0" w:rsidRPr="00B95BB1" w14:paraId="2485213D" w14:textId="4F2CFAFB" w:rsidTr="00FD10D3">
        <w:trPr>
          <w:trHeight w:val="486"/>
        </w:trPr>
        <w:tc>
          <w:tcPr>
            <w:tcW w:w="3656" w:type="dxa"/>
          </w:tcPr>
          <w:p w14:paraId="5B211B49" w14:textId="48584894"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Smokers (%)</w:t>
            </w:r>
          </w:p>
        </w:tc>
        <w:tc>
          <w:tcPr>
            <w:tcW w:w="1862" w:type="dxa"/>
          </w:tcPr>
          <w:p w14:paraId="2020B15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14 (22.2)</w:t>
            </w:r>
          </w:p>
        </w:tc>
        <w:tc>
          <w:tcPr>
            <w:tcW w:w="1790" w:type="dxa"/>
          </w:tcPr>
          <w:p w14:paraId="214006B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24 (28.9)</w:t>
            </w:r>
          </w:p>
        </w:tc>
        <w:tc>
          <w:tcPr>
            <w:tcW w:w="1702" w:type="dxa"/>
          </w:tcPr>
          <w:p w14:paraId="0BA5474E" w14:textId="176A382F" w:rsidR="00AE5EB0"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0.36</w:t>
            </w:r>
          </w:p>
        </w:tc>
      </w:tr>
      <w:tr w:rsidR="00AE5EB0" w:rsidRPr="00B95BB1" w14:paraId="761A4467" w14:textId="5EAD1FD3" w:rsidTr="00FD10D3">
        <w:trPr>
          <w:trHeight w:val="2507"/>
        </w:trPr>
        <w:tc>
          <w:tcPr>
            <w:tcW w:w="3656" w:type="dxa"/>
          </w:tcPr>
          <w:p w14:paraId="2258F3A9"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ASA (%)</w:t>
            </w:r>
          </w:p>
          <w:p w14:paraId="49884D5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w:t>
            </w:r>
          </w:p>
          <w:p w14:paraId="0D0C169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2</w:t>
            </w:r>
          </w:p>
          <w:p w14:paraId="23CB6EBB"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w:t>
            </w:r>
          </w:p>
          <w:p w14:paraId="64EAB72C" w14:textId="0F0DA07D" w:rsidR="00AE5EB0" w:rsidRPr="00B95BB1" w:rsidRDefault="00AE5EB0" w:rsidP="001955D4">
            <w:pPr>
              <w:spacing w:after="120" w:line="480" w:lineRule="auto"/>
              <w:rPr>
                <w:rFonts w:ascii="Arial" w:hAnsi="Arial" w:cs="Arial"/>
                <w:sz w:val="16"/>
                <w:szCs w:val="16"/>
                <w:lang w:val="en-AU"/>
              </w:rPr>
            </w:pPr>
            <w:r w:rsidRPr="00B95BB1">
              <w:rPr>
                <w:rFonts w:ascii="Arial" w:hAnsi="Arial" w:cs="Arial"/>
                <w:sz w:val="16"/>
                <w:szCs w:val="16"/>
                <w:lang w:val="en-AU"/>
              </w:rPr>
              <w:t>4</w:t>
            </w:r>
          </w:p>
        </w:tc>
        <w:tc>
          <w:tcPr>
            <w:tcW w:w="1862" w:type="dxa"/>
          </w:tcPr>
          <w:p w14:paraId="1B81FC1C" w14:textId="77777777" w:rsidR="00AE5EB0" w:rsidRPr="00B95BB1" w:rsidRDefault="00AE5EB0" w:rsidP="009A7461">
            <w:pPr>
              <w:spacing w:after="120" w:line="480" w:lineRule="auto"/>
              <w:rPr>
                <w:rFonts w:ascii="Arial" w:hAnsi="Arial" w:cs="Arial"/>
                <w:sz w:val="16"/>
                <w:szCs w:val="16"/>
                <w:lang w:val="en-AU"/>
              </w:rPr>
            </w:pPr>
          </w:p>
          <w:p w14:paraId="64B191F1"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 (6.3)</w:t>
            </w:r>
          </w:p>
          <w:p w14:paraId="0B38A73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32 (50.8)</w:t>
            </w:r>
          </w:p>
          <w:p w14:paraId="17749D1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26 (41.3)</w:t>
            </w:r>
          </w:p>
          <w:p w14:paraId="6FBB2B3B"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 (1.6)</w:t>
            </w:r>
          </w:p>
        </w:tc>
        <w:tc>
          <w:tcPr>
            <w:tcW w:w="1790" w:type="dxa"/>
          </w:tcPr>
          <w:p w14:paraId="7A767941" w14:textId="77777777" w:rsidR="00AE5EB0" w:rsidRPr="00B95BB1" w:rsidRDefault="00AE5EB0" w:rsidP="009A7461">
            <w:pPr>
              <w:spacing w:after="120" w:line="480" w:lineRule="auto"/>
              <w:rPr>
                <w:rFonts w:ascii="Arial" w:hAnsi="Arial" w:cs="Arial"/>
                <w:sz w:val="16"/>
                <w:szCs w:val="16"/>
                <w:lang w:val="en-AU"/>
              </w:rPr>
            </w:pPr>
          </w:p>
          <w:p w14:paraId="2E16B88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 (3.6)</w:t>
            </w:r>
          </w:p>
          <w:p w14:paraId="38B143D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45 (54.2)</w:t>
            </w:r>
          </w:p>
          <w:p w14:paraId="03848F89"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435 (42.2)</w:t>
            </w:r>
          </w:p>
          <w:p w14:paraId="0F833AFD"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0 (0)</w:t>
            </w:r>
          </w:p>
        </w:tc>
        <w:tc>
          <w:tcPr>
            <w:tcW w:w="1702" w:type="dxa"/>
          </w:tcPr>
          <w:p w14:paraId="4D9FBDA8" w14:textId="77777777" w:rsidR="001955D4" w:rsidRDefault="001955D4" w:rsidP="009A7461">
            <w:pPr>
              <w:spacing w:after="120" w:line="480" w:lineRule="auto"/>
              <w:rPr>
                <w:rFonts w:ascii="Arial" w:hAnsi="Arial" w:cs="Arial"/>
                <w:sz w:val="16"/>
                <w:szCs w:val="16"/>
                <w:lang w:val="en-AU"/>
              </w:rPr>
            </w:pPr>
          </w:p>
          <w:p w14:paraId="043BA383" w14:textId="77777777" w:rsidR="001955D4" w:rsidRDefault="001955D4" w:rsidP="009A7461">
            <w:pPr>
              <w:spacing w:after="120" w:line="480" w:lineRule="auto"/>
              <w:rPr>
                <w:rFonts w:ascii="Arial" w:hAnsi="Arial" w:cs="Arial"/>
                <w:sz w:val="16"/>
                <w:szCs w:val="16"/>
                <w:lang w:val="en-AU"/>
              </w:rPr>
            </w:pPr>
          </w:p>
          <w:p w14:paraId="32AACD1A" w14:textId="01C3BFBF" w:rsidR="00AE5EB0"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0.63</w:t>
            </w:r>
          </w:p>
        </w:tc>
      </w:tr>
      <w:tr w:rsidR="00AE5EB0" w:rsidRPr="00B95BB1" w14:paraId="5D738698" w14:textId="5D8B240D" w:rsidTr="00FD10D3">
        <w:trPr>
          <w:trHeight w:val="209"/>
        </w:trPr>
        <w:tc>
          <w:tcPr>
            <w:tcW w:w="3656" w:type="dxa"/>
          </w:tcPr>
          <w:p w14:paraId="68BF24E4" w14:textId="26850806"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Anticoagulants/antiplatelet (</w:t>
            </w:r>
            <w:proofErr w:type="gramStart"/>
            <w:r w:rsidRPr="00B95BB1">
              <w:rPr>
                <w:rFonts w:ascii="Arial" w:hAnsi="Arial" w:cs="Arial"/>
                <w:sz w:val="16"/>
                <w:szCs w:val="16"/>
                <w:lang w:val="en-AU"/>
              </w:rPr>
              <w:t>%)†</w:t>
            </w:r>
            <w:proofErr w:type="gramEnd"/>
          </w:p>
          <w:p w14:paraId="07F73A3D"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Nil</w:t>
            </w:r>
          </w:p>
          <w:p w14:paraId="3281EFDB"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Anti-platelet</w:t>
            </w:r>
          </w:p>
          <w:p w14:paraId="3DDB792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Warfarin</w:t>
            </w:r>
          </w:p>
          <w:p w14:paraId="27C3A9C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NOAC</w:t>
            </w:r>
          </w:p>
        </w:tc>
        <w:tc>
          <w:tcPr>
            <w:tcW w:w="1862" w:type="dxa"/>
          </w:tcPr>
          <w:p w14:paraId="1855249E" w14:textId="77777777" w:rsidR="00AE5EB0" w:rsidRPr="00B95BB1" w:rsidRDefault="00AE5EB0" w:rsidP="009A7461">
            <w:pPr>
              <w:spacing w:after="120" w:line="480" w:lineRule="auto"/>
              <w:rPr>
                <w:rFonts w:ascii="Arial" w:hAnsi="Arial" w:cs="Arial"/>
                <w:sz w:val="16"/>
                <w:szCs w:val="16"/>
                <w:lang w:val="en-AU"/>
              </w:rPr>
            </w:pPr>
          </w:p>
          <w:p w14:paraId="156A756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47 (74.6)</w:t>
            </w:r>
          </w:p>
          <w:p w14:paraId="3026A625"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13 (20.6)</w:t>
            </w:r>
          </w:p>
          <w:p w14:paraId="55C095FC"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 (6.3)</w:t>
            </w:r>
          </w:p>
          <w:p w14:paraId="5846B565"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0 (0)</w:t>
            </w:r>
          </w:p>
        </w:tc>
        <w:tc>
          <w:tcPr>
            <w:tcW w:w="1790" w:type="dxa"/>
          </w:tcPr>
          <w:p w14:paraId="2BA9BD28" w14:textId="77777777" w:rsidR="00AE5EB0" w:rsidRPr="00B95BB1" w:rsidRDefault="00AE5EB0" w:rsidP="009A7461">
            <w:pPr>
              <w:spacing w:after="120" w:line="480" w:lineRule="auto"/>
              <w:rPr>
                <w:rFonts w:ascii="Arial" w:hAnsi="Arial" w:cs="Arial"/>
                <w:sz w:val="16"/>
                <w:szCs w:val="16"/>
                <w:lang w:val="en-AU"/>
              </w:rPr>
            </w:pPr>
          </w:p>
          <w:p w14:paraId="29CA7CBA"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64 (77.1)</w:t>
            </w:r>
          </w:p>
          <w:p w14:paraId="581FB33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17 (20.5)</w:t>
            </w:r>
          </w:p>
          <w:p w14:paraId="532A9E3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 (1.2)</w:t>
            </w:r>
          </w:p>
          <w:p w14:paraId="25058DE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 xml:space="preserve">1 (1.2) </w:t>
            </w:r>
          </w:p>
        </w:tc>
        <w:tc>
          <w:tcPr>
            <w:tcW w:w="1702" w:type="dxa"/>
          </w:tcPr>
          <w:p w14:paraId="215F4F4C" w14:textId="77777777" w:rsidR="00AE5EB0" w:rsidRDefault="00AE5EB0" w:rsidP="009A7461">
            <w:pPr>
              <w:spacing w:after="120" w:line="480" w:lineRule="auto"/>
              <w:rPr>
                <w:rFonts w:ascii="Arial" w:hAnsi="Arial" w:cs="Arial"/>
                <w:sz w:val="16"/>
                <w:szCs w:val="16"/>
                <w:lang w:val="en-AU"/>
              </w:rPr>
            </w:pPr>
          </w:p>
          <w:p w14:paraId="08DF8A0B" w14:textId="77777777" w:rsidR="001955D4" w:rsidRDefault="001955D4" w:rsidP="009A7461">
            <w:pPr>
              <w:spacing w:after="120" w:line="480" w:lineRule="auto"/>
              <w:rPr>
                <w:rFonts w:ascii="Arial" w:hAnsi="Arial" w:cs="Arial"/>
                <w:sz w:val="16"/>
                <w:szCs w:val="16"/>
                <w:lang w:val="en-AU"/>
              </w:rPr>
            </w:pPr>
            <w:r>
              <w:rPr>
                <w:rFonts w:ascii="Arial" w:hAnsi="Arial" w:cs="Arial"/>
                <w:sz w:val="16"/>
                <w:szCs w:val="16"/>
                <w:lang w:val="en-AU"/>
              </w:rPr>
              <w:t>0.73</w:t>
            </w:r>
          </w:p>
          <w:p w14:paraId="05DF8EEB" w14:textId="77777777" w:rsidR="001955D4" w:rsidRDefault="001955D4" w:rsidP="009A7461">
            <w:pPr>
              <w:spacing w:after="120" w:line="480" w:lineRule="auto"/>
              <w:rPr>
                <w:rFonts w:ascii="Arial" w:hAnsi="Arial" w:cs="Arial"/>
                <w:sz w:val="16"/>
                <w:szCs w:val="16"/>
                <w:lang w:val="en-AU"/>
              </w:rPr>
            </w:pPr>
            <w:r>
              <w:rPr>
                <w:rFonts w:ascii="Arial" w:hAnsi="Arial" w:cs="Arial"/>
                <w:sz w:val="16"/>
                <w:szCs w:val="16"/>
                <w:lang w:val="en-AU"/>
              </w:rPr>
              <w:t>0.98</w:t>
            </w:r>
          </w:p>
          <w:p w14:paraId="569AEE7D" w14:textId="77777777" w:rsidR="001955D4" w:rsidRDefault="001955D4" w:rsidP="009A7461">
            <w:pPr>
              <w:spacing w:after="120" w:line="480" w:lineRule="auto"/>
              <w:rPr>
                <w:rFonts w:ascii="Arial" w:hAnsi="Arial" w:cs="Arial"/>
                <w:sz w:val="16"/>
                <w:szCs w:val="16"/>
                <w:lang w:val="en-AU"/>
              </w:rPr>
            </w:pPr>
            <w:r>
              <w:rPr>
                <w:rFonts w:ascii="Arial" w:hAnsi="Arial" w:cs="Arial"/>
                <w:sz w:val="16"/>
                <w:szCs w:val="16"/>
                <w:lang w:val="en-AU"/>
              </w:rPr>
              <w:t>0.17</w:t>
            </w:r>
          </w:p>
          <w:p w14:paraId="3DF2FD1C" w14:textId="10BC039C" w:rsidR="001955D4"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1.00</w:t>
            </w:r>
          </w:p>
        </w:tc>
      </w:tr>
      <w:tr w:rsidR="00AE5EB0" w:rsidRPr="00B95BB1" w14:paraId="2905BF23" w14:textId="2DE4F4B6" w:rsidTr="00FD10D3">
        <w:trPr>
          <w:trHeight w:val="209"/>
        </w:trPr>
        <w:tc>
          <w:tcPr>
            <w:tcW w:w="3656" w:type="dxa"/>
          </w:tcPr>
          <w:p w14:paraId="33FF56DA"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Surgical side (%)</w:t>
            </w:r>
          </w:p>
          <w:p w14:paraId="65B3B6AB"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R</w:t>
            </w:r>
          </w:p>
          <w:p w14:paraId="3A73B748"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lastRenderedPageBreak/>
              <w:t>L</w:t>
            </w:r>
          </w:p>
        </w:tc>
        <w:tc>
          <w:tcPr>
            <w:tcW w:w="1862" w:type="dxa"/>
          </w:tcPr>
          <w:p w14:paraId="044B13FC" w14:textId="77777777" w:rsidR="00AE5EB0" w:rsidRPr="00B95BB1" w:rsidRDefault="00AE5EB0" w:rsidP="009A7461">
            <w:pPr>
              <w:spacing w:after="120" w:line="480" w:lineRule="auto"/>
              <w:rPr>
                <w:rFonts w:ascii="Arial" w:hAnsi="Arial" w:cs="Arial"/>
                <w:sz w:val="16"/>
                <w:szCs w:val="16"/>
                <w:lang w:val="en-AU"/>
              </w:rPr>
            </w:pPr>
          </w:p>
          <w:p w14:paraId="4F4A6152"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34 (54.0)</w:t>
            </w:r>
          </w:p>
          <w:p w14:paraId="73845829"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lastRenderedPageBreak/>
              <w:t>29 (46.0)</w:t>
            </w:r>
          </w:p>
        </w:tc>
        <w:tc>
          <w:tcPr>
            <w:tcW w:w="1790" w:type="dxa"/>
          </w:tcPr>
          <w:p w14:paraId="373700C6" w14:textId="77777777" w:rsidR="00AE5EB0" w:rsidRPr="00B95BB1" w:rsidRDefault="00AE5EB0" w:rsidP="009A7461">
            <w:pPr>
              <w:spacing w:after="120" w:line="480" w:lineRule="auto"/>
              <w:rPr>
                <w:rFonts w:ascii="Arial" w:hAnsi="Arial" w:cs="Arial"/>
                <w:sz w:val="16"/>
                <w:szCs w:val="16"/>
                <w:lang w:val="en-AU"/>
              </w:rPr>
            </w:pPr>
          </w:p>
          <w:p w14:paraId="54258AB7"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46 (55.4)</w:t>
            </w:r>
          </w:p>
          <w:p w14:paraId="3F475FB4"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lastRenderedPageBreak/>
              <w:t>37 (44.6)</w:t>
            </w:r>
          </w:p>
        </w:tc>
        <w:tc>
          <w:tcPr>
            <w:tcW w:w="1702" w:type="dxa"/>
          </w:tcPr>
          <w:p w14:paraId="17E3351E" w14:textId="77777777" w:rsidR="00AE5EB0" w:rsidRDefault="00AE5EB0" w:rsidP="009A7461">
            <w:pPr>
              <w:spacing w:after="120" w:line="480" w:lineRule="auto"/>
              <w:rPr>
                <w:rFonts w:ascii="Arial" w:hAnsi="Arial" w:cs="Arial"/>
                <w:sz w:val="16"/>
                <w:szCs w:val="16"/>
                <w:lang w:val="en-AU"/>
              </w:rPr>
            </w:pPr>
          </w:p>
          <w:p w14:paraId="02797148" w14:textId="77777777" w:rsidR="001955D4" w:rsidRDefault="001955D4" w:rsidP="009A7461">
            <w:pPr>
              <w:spacing w:after="120" w:line="480" w:lineRule="auto"/>
              <w:rPr>
                <w:rFonts w:ascii="Arial" w:hAnsi="Arial" w:cs="Arial"/>
                <w:sz w:val="16"/>
                <w:szCs w:val="16"/>
                <w:lang w:val="en-AU"/>
              </w:rPr>
            </w:pPr>
          </w:p>
          <w:p w14:paraId="438CC647" w14:textId="07FB7F2C" w:rsidR="001955D4"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lastRenderedPageBreak/>
              <w:t>0.26</w:t>
            </w:r>
          </w:p>
        </w:tc>
      </w:tr>
      <w:tr w:rsidR="00AE5EB0" w:rsidRPr="00B95BB1" w14:paraId="02011570" w14:textId="0A9F7BAC" w:rsidTr="00FD10D3">
        <w:trPr>
          <w:trHeight w:val="181"/>
        </w:trPr>
        <w:tc>
          <w:tcPr>
            <w:tcW w:w="3656" w:type="dxa"/>
          </w:tcPr>
          <w:p w14:paraId="5C826A3E"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lastRenderedPageBreak/>
              <w:t>Pre-op Hb (mean)</w:t>
            </w:r>
          </w:p>
        </w:tc>
        <w:tc>
          <w:tcPr>
            <w:tcW w:w="1862" w:type="dxa"/>
          </w:tcPr>
          <w:p w14:paraId="1232C623"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144.5 (14.5)</w:t>
            </w:r>
          </w:p>
        </w:tc>
        <w:tc>
          <w:tcPr>
            <w:tcW w:w="1790" w:type="dxa"/>
          </w:tcPr>
          <w:p w14:paraId="40E7D8A0"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140.8 (13.8)</w:t>
            </w:r>
          </w:p>
        </w:tc>
        <w:tc>
          <w:tcPr>
            <w:tcW w:w="1702" w:type="dxa"/>
          </w:tcPr>
          <w:p w14:paraId="23581BDA" w14:textId="564A6E50" w:rsidR="00AE5EB0"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0.13</w:t>
            </w:r>
          </w:p>
        </w:tc>
      </w:tr>
      <w:tr w:rsidR="00AE5EB0" w:rsidRPr="00B95BB1" w14:paraId="56C9960A" w14:textId="06312DAD" w:rsidTr="001955D4">
        <w:trPr>
          <w:trHeight w:val="181"/>
        </w:trPr>
        <w:tc>
          <w:tcPr>
            <w:tcW w:w="3656" w:type="dxa"/>
          </w:tcPr>
          <w:p w14:paraId="7EA018D0"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Post-op TXA used (%)</w:t>
            </w:r>
          </w:p>
        </w:tc>
        <w:tc>
          <w:tcPr>
            <w:tcW w:w="1862" w:type="dxa"/>
          </w:tcPr>
          <w:p w14:paraId="5EE4ED6E" w14:textId="7CC1DCB5" w:rsidR="00AE5EB0" w:rsidRPr="00B95BB1" w:rsidRDefault="001955D4" w:rsidP="001955D4">
            <w:pPr>
              <w:spacing w:after="120" w:line="480" w:lineRule="auto"/>
              <w:rPr>
                <w:rFonts w:ascii="Arial" w:hAnsi="Arial" w:cs="Arial"/>
                <w:sz w:val="16"/>
                <w:szCs w:val="16"/>
                <w:lang w:val="en-AU"/>
              </w:rPr>
            </w:pPr>
            <w:r>
              <w:rPr>
                <w:rFonts w:ascii="Arial" w:hAnsi="Arial" w:cs="Arial"/>
                <w:sz w:val="16"/>
                <w:szCs w:val="16"/>
                <w:lang w:val="en-AU"/>
              </w:rPr>
              <w:t>-</w:t>
            </w:r>
          </w:p>
        </w:tc>
        <w:tc>
          <w:tcPr>
            <w:tcW w:w="1790" w:type="dxa"/>
          </w:tcPr>
          <w:p w14:paraId="0F758E46" w14:textId="77777777" w:rsidR="00AE5EB0" w:rsidRPr="00B95BB1" w:rsidRDefault="00AE5EB0" w:rsidP="009A7461">
            <w:pPr>
              <w:spacing w:after="120" w:line="480" w:lineRule="auto"/>
              <w:rPr>
                <w:rFonts w:ascii="Arial" w:hAnsi="Arial" w:cs="Arial"/>
                <w:sz w:val="16"/>
                <w:szCs w:val="16"/>
                <w:lang w:val="en-AU"/>
              </w:rPr>
            </w:pPr>
            <w:r w:rsidRPr="00B95BB1">
              <w:rPr>
                <w:rFonts w:ascii="Arial" w:hAnsi="Arial" w:cs="Arial"/>
                <w:sz w:val="16"/>
                <w:szCs w:val="16"/>
                <w:lang w:val="en-AU"/>
              </w:rPr>
              <w:t>83 (56.8)</w:t>
            </w:r>
          </w:p>
        </w:tc>
        <w:tc>
          <w:tcPr>
            <w:tcW w:w="1702" w:type="dxa"/>
          </w:tcPr>
          <w:p w14:paraId="27B1F128" w14:textId="12BD5A5E" w:rsidR="00AE5EB0" w:rsidRPr="00B95BB1" w:rsidRDefault="001955D4" w:rsidP="009A7461">
            <w:pPr>
              <w:spacing w:after="120" w:line="480" w:lineRule="auto"/>
              <w:rPr>
                <w:rFonts w:ascii="Arial" w:hAnsi="Arial" w:cs="Arial"/>
                <w:sz w:val="16"/>
                <w:szCs w:val="16"/>
                <w:lang w:val="en-AU"/>
              </w:rPr>
            </w:pPr>
            <w:r>
              <w:rPr>
                <w:rFonts w:ascii="Arial" w:hAnsi="Arial" w:cs="Arial"/>
                <w:sz w:val="16"/>
                <w:szCs w:val="16"/>
                <w:lang w:val="en-AU"/>
              </w:rPr>
              <w:t>-</w:t>
            </w:r>
          </w:p>
        </w:tc>
      </w:tr>
    </w:tbl>
    <w:p w14:paraId="72DDAB22" w14:textId="7A79C274" w:rsidR="00AF4B7A" w:rsidRPr="00B95BB1" w:rsidRDefault="00AF4B7A" w:rsidP="0057608C">
      <w:pPr>
        <w:spacing w:line="480" w:lineRule="auto"/>
        <w:rPr>
          <w:rFonts w:ascii="Arial" w:hAnsi="Arial" w:cs="Arial"/>
          <w:sz w:val="16"/>
          <w:szCs w:val="18"/>
          <w:lang w:val="en-AU"/>
        </w:rPr>
      </w:pPr>
      <w:r w:rsidRPr="00B95BB1">
        <w:rPr>
          <w:rFonts w:ascii="Arial" w:hAnsi="Arial" w:cs="Arial"/>
          <w:sz w:val="16"/>
          <w:szCs w:val="18"/>
          <w:lang w:val="en-AU"/>
        </w:rPr>
        <w:t xml:space="preserve">† note:  </w:t>
      </w:r>
      <w:r w:rsidR="0057608C">
        <w:rPr>
          <w:rFonts w:ascii="Arial" w:hAnsi="Arial" w:cs="Arial"/>
          <w:sz w:val="16"/>
          <w:szCs w:val="18"/>
          <w:lang w:val="en-AU"/>
        </w:rPr>
        <w:t xml:space="preserve">one </w:t>
      </w:r>
      <w:r w:rsidRPr="00B95BB1">
        <w:rPr>
          <w:rFonts w:ascii="Arial" w:hAnsi="Arial" w:cs="Arial"/>
          <w:sz w:val="16"/>
          <w:szCs w:val="18"/>
          <w:lang w:val="en-AU"/>
        </w:rPr>
        <w:t xml:space="preserve">patient </w:t>
      </w:r>
      <w:r w:rsidR="0057608C">
        <w:rPr>
          <w:rFonts w:ascii="Arial" w:hAnsi="Arial" w:cs="Arial"/>
          <w:sz w:val="16"/>
          <w:szCs w:val="18"/>
          <w:lang w:val="en-AU"/>
        </w:rPr>
        <w:t>was</w:t>
      </w:r>
      <w:r w:rsidRPr="00B95BB1">
        <w:rPr>
          <w:rFonts w:ascii="Arial" w:hAnsi="Arial" w:cs="Arial"/>
          <w:sz w:val="16"/>
          <w:szCs w:val="18"/>
          <w:lang w:val="en-AU"/>
        </w:rPr>
        <w:t xml:space="preserve"> receiving treatment with more than one type of anticoagulant/antiplatelet</w:t>
      </w:r>
    </w:p>
    <w:p w14:paraId="40E58899" w14:textId="3F88F0F3" w:rsidR="00E830D9" w:rsidRPr="00B95BB1" w:rsidRDefault="009A7461" w:rsidP="009A7461">
      <w:pPr>
        <w:spacing w:line="480" w:lineRule="auto"/>
        <w:rPr>
          <w:rFonts w:ascii="Arial" w:hAnsi="Arial" w:cs="Arial"/>
          <w:lang w:val="en-AU"/>
        </w:rPr>
      </w:pPr>
      <w:r w:rsidRPr="00B95BB1">
        <w:rPr>
          <w:rFonts w:ascii="Arial" w:hAnsi="Arial" w:cs="Arial"/>
          <w:lang w:val="en-AU"/>
        </w:rPr>
        <w:br w:type="page"/>
      </w:r>
    </w:p>
    <w:p w14:paraId="6BF419D4" w14:textId="77777777" w:rsidR="00AF4B7A" w:rsidRPr="00B95BB1" w:rsidRDefault="00AF4B7A" w:rsidP="009A7461">
      <w:pPr>
        <w:spacing w:line="480" w:lineRule="auto"/>
        <w:outlineLvl w:val="0"/>
        <w:rPr>
          <w:rFonts w:ascii="Arial" w:hAnsi="Arial" w:cs="Arial"/>
          <w:sz w:val="20"/>
          <w:lang w:val="en-AU"/>
        </w:rPr>
      </w:pPr>
      <w:r w:rsidRPr="00B95BB1">
        <w:rPr>
          <w:rFonts w:ascii="Arial" w:hAnsi="Arial" w:cs="Arial"/>
          <w:b/>
          <w:sz w:val="20"/>
          <w:lang w:val="en-AU"/>
        </w:rPr>
        <w:lastRenderedPageBreak/>
        <w:t>Table 2:</w:t>
      </w:r>
      <w:r w:rsidRPr="00B95BB1">
        <w:rPr>
          <w:rFonts w:ascii="Arial" w:hAnsi="Arial" w:cs="Arial"/>
          <w:sz w:val="20"/>
          <w:lang w:val="en-AU"/>
        </w:rPr>
        <w:t xml:space="preserve"> Outcome measures</w:t>
      </w:r>
    </w:p>
    <w:tbl>
      <w:tblPr>
        <w:tblStyle w:val="TableGrid"/>
        <w:tblW w:w="0" w:type="auto"/>
        <w:tblLook w:val="04A0" w:firstRow="1" w:lastRow="0" w:firstColumn="1" w:lastColumn="0" w:noHBand="0" w:noVBand="1"/>
      </w:tblPr>
      <w:tblGrid>
        <w:gridCol w:w="3030"/>
        <w:gridCol w:w="1814"/>
        <w:gridCol w:w="1761"/>
        <w:gridCol w:w="1268"/>
      </w:tblGrid>
      <w:tr w:rsidR="0095461C" w:rsidRPr="00B95BB1" w14:paraId="40232111" w14:textId="77777777" w:rsidTr="00FD10D3">
        <w:trPr>
          <w:trHeight w:val="515"/>
        </w:trPr>
        <w:tc>
          <w:tcPr>
            <w:tcW w:w="3030" w:type="dxa"/>
            <w:vAlign w:val="center"/>
          </w:tcPr>
          <w:p w14:paraId="0E8FBE0C" w14:textId="77777777" w:rsidR="0095461C" w:rsidRPr="00B95BB1" w:rsidRDefault="0095461C" w:rsidP="009A7461">
            <w:pPr>
              <w:spacing w:line="480" w:lineRule="auto"/>
              <w:rPr>
                <w:rFonts w:ascii="Arial" w:hAnsi="Arial" w:cs="Arial"/>
                <w:b/>
                <w:bCs/>
                <w:sz w:val="16"/>
                <w:szCs w:val="16"/>
                <w:lang w:val="en-AU"/>
              </w:rPr>
            </w:pPr>
            <w:r w:rsidRPr="00B95BB1">
              <w:rPr>
                <w:rFonts w:ascii="Arial" w:hAnsi="Arial" w:cs="Arial"/>
                <w:b/>
                <w:bCs/>
                <w:sz w:val="16"/>
                <w:szCs w:val="16"/>
                <w:lang w:val="en-AU"/>
              </w:rPr>
              <w:t>Outcome</w:t>
            </w:r>
          </w:p>
        </w:tc>
        <w:tc>
          <w:tcPr>
            <w:tcW w:w="1814" w:type="dxa"/>
            <w:vAlign w:val="center"/>
          </w:tcPr>
          <w:p w14:paraId="3B7A98B8" w14:textId="77777777" w:rsidR="0095461C" w:rsidRPr="00B95BB1" w:rsidRDefault="0095461C" w:rsidP="009A7461">
            <w:pPr>
              <w:spacing w:line="480" w:lineRule="auto"/>
              <w:rPr>
                <w:rFonts w:ascii="Arial" w:hAnsi="Arial" w:cs="Arial"/>
                <w:b/>
                <w:bCs/>
                <w:sz w:val="16"/>
                <w:szCs w:val="16"/>
                <w:lang w:val="en-AU"/>
              </w:rPr>
            </w:pPr>
            <w:r w:rsidRPr="00B95BB1">
              <w:rPr>
                <w:rFonts w:ascii="Arial" w:hAnsi="Arial" w:cs="Arial"/>
                <w:b/>
                <w:bCs/>
                <w:sz w:val="16"/>
                <w:szCs w:val="16"/>
                <w:lang w:val="en-AU"/>
              </w:rPr>
              <w:t>Anterior without TXA (n=63)</w:t>
            </w:r>
          </w:p>
        </w:tc>
        <w:tc>
          <w:tcPr>
            <w:tcW w:w="1761" w:type="dxa"/>
            <w:vAlign w:val="center"/>
          </w:tcPr>
          <w:p w14:paraId="694193D2" w14:textId="77777777" w:rsidR="0095461C" w:rsidRPr="00B95BB1" w:rsidRDefault="0095461C" w:rsidP="009A7461">
            <w:pPr>
              <w:spacing w:line="480" w:lineRule="auto"/>
              <w:rPr>
                <w:rFonts w:ascii="Arial" w:hAnsi="Arial" w:cs="Arial"/>
                <w:b/>
                <w:bCs/>
                <w:sz w:val="16"/>
                <w:szCs w:val="16"/>
                <w:lang w:val="en-AU"/>
              </w:rPr>
            </w:pPr>
            <w:r w:rsidRPr="00B95BB1">
              <w:rPr>
                <w:rFonts w:ascii="Arial" w:hAnsi="Arial" w:cs="Arial"/>
                <w:b/>
                <w:bCs/>
                <w:sz w:val="16"/>
                <w:szCs w:val="16"/>
                <w:lang w:val="en-AU"/>
              </w:rPr>
              <w:t>Anterior with TXA (n=83)</w:t>
            </w:r>
          </w:p>
        </w:tc>
        <w:tc>
          <w:tcPr>
            <w:tcW w:w="1268" w:type="dxa"/>
            <w:vAlign w:val="center"/>
          </w:tcPr>
          <w:p w14:paraId="13D0DC59" w14:textId="77777777" w:rsidR="0095461C" w:rsidRPr="00B95BB1" w:rsidRDefault="0095461C" w:rsidP="009A7461">
            <w:pPr>
              <w:spacing w:line="480" w:lineRule="auto"/>
              <w:rPr>
                <w:rFonts w:ascii="Arial" w:hAnsi="Arial" w:cs="Arial"/>
                <w:b/>
                <w:bCs/>
                <w:sz w:val="16"/>
                <w:szCs w:val="16"/>
                <w:lang w:val="en-AU"/>
              </w:rPr>
            </w:pPr>
            <w:r w:rsidRPr="00B95BB1">
              <w:rPr>
                <w:rFonts w:ascii="Arial" w:hAnsi="Arial" w:cs="Arial"/>
                <w:b/>
                <w:bCs/>
                <w:sz w:val="16"/>
                <w:szCs w:val="16"/>
                <w:lang w:val="en-AU"/>
              </w:rPr>
              <w:t>p-value</w:t>
            </w:r>
          </w:p>
        </w:tc>
      </w:tr>
      <w:tr w:rsidR="0095461C" w:rsidRPr="00B95BB1" w14:paraId="5A760F4B" w14:textId="77777777" w:rsidTr="00FD10D3">
        <w:trPr>
          <w:trHeight w:val="476"/>
        </w:trPr>
        <w:tc>
          <w:tcPr>
            <w:tcW w:w="3030" w:type="dxa"/>
          </w:tcPr>
          <w:p w14:paraId="1EB86AA9" w14:textId="77777777" w:rsidR="0095461C" w:rsidRPr="00B95BB1" w:rsidRDefault="0095461C" w:rsidP="009A7461">
            <w:pPr>
              <w:spacing w:line="480" w:lineRule="auto"/>
              <w:rPr>
                <w:rFonts w:ascii="Arial" w:hAnsi="Arial" w:cs="Arial"/>
                <w:sz w:val="16"/>
                <w:szCs w:val="16"/>
                <w:lang w:val="en-AU"/>
              </w:rPr>
            </w:pPr>
          </w:p>
        </w:tc>
        <w:tc>
          <w:tcPr>
            <w:tcW w:w="1814" w:type="dxa"/>
          </w:tcPr>
          <w:p w14:paraId="23E094F0" w14:textId="77777777" w:rsidR="0095461C" w:rsidRPr="00B95BB1" w:rsidRDefault="0095461C" w:rsidP="009A7461">
            <w:pPr>
              <w:spacing w:line="480" w:lineRule="auto"/>
              <w:rPr>
                <w:rFonts w:ascii="Arial" w:hAnsi="Arial" w:cs="Arial"/>
                <w:sz w:val="16"/>
                <w:szCs w:val="16"/>
                <w:lang w:val="en-AU"/>
              </w:rPr>
            </w:pPr>
            <w:r w:rsidRPr="00B95BB1">
              <w:rPr>
                <w:rFonts w:ascii="Arial" w:hAnsi="Arial" w:cs="Arial"/>
                <w:b/>
                <w:bCs/>
                <w:sz w:val="16"/>
                <w:szCs w:val="16"/>
                <w:lang w:val="en-AU"/>
              </w:rPr>
              <w:t>n (%) or mean (SD)</w:t>
            </w:r>
          </w:p>
        </w:tc>
        <w:tc>
          <w:tcPr>
            <w:tcW w:w="1761" w:type="dxa"/>
          </w:tcPr>
          <w:p w14:paraId="79BE6FDC" w14:textId="77777777" w:rsidR="0095461C" w:rsidRPr="00B95BB1" w:rsidRDefault="0095461C" w:rsidP="009A7461">
            <w:pPr>
              <w:spacing w:line="480" w:lineRule="auto"/>
              <w:rPr>
                <w:rFonts w:ascii="Arial" w:hAnsi="Arial" w:cs="Arial"/>
                <w:sz w:val="16"/>
                <w:szCs w:val="16"/>
                <w:lang w:val="en-AU"/>
              </w:rPr>
            </w:pPr>
            <w:r w:rsidRPr="00B95BB1">
              <w:rPr>
                <w:rFonts w:ascii="Arial" w:hAnsi="Arial" w:cs="Arial"/>
                <w:b/>
                <w:bCs/>
                <w:sz w:val="16"/>
                <w:szCs w:val="16"/>
                <w:lang w:val="en-AU"/>
              </w:rPr>
              <w:t>n (%) or mean (SD)</w:t>
            </w:r>
          </w:p>
        </w:tc>
        <w:tc>
          <w:tcPr>
            <w:tcW w:w="1268" w:type="dxa"/>
          </w:tcPr>
          <w:p w14:paraId="19D63F5D" w14:textId="77777777" w:rsidR="0095461C" w:rsidRPr="00B95BB1" w:rsidRDefault="0095461C" w:rsidP="009A7461">
            <w:pPr>
              <w:spacing w:line="480" w:lineRule="auto"/>
              <w:rPr>
                <w:rFonts w:ascii="Arial" w:hAnsi="Arial" w:cs="Arial"/>
                <w:sz w:val="16"/>
                <w:szCs w:val="16"/>
                <w:lang w:val="en-AU"/>
              </w:rPr>
            </w:pPr>
          </w:p>
        </w:tc>
      </w:tr>
      <w:tr w:rsidR="0095461C" w:rsidRPr="00B95BB1" w14:paraId="2ADCD9A3" w14:textId="77777777" w:rsidTr="00FD10D3">
        <w:trPr>
          <w:trHeight w:val="560"/>
        </w:trPr>
        <w:tc>
          <w:tcPr>
            <w:tcW w:w="3030" w:type="dxa"/>
          </w:tcPr>
          <w:p w14:paraId="7E35A80E"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Hb change (mean)</w:t>
            </w:r>
          </w:p>
        </w:tc>
        <w:tc>
          <w:tcPr>
            <w:tcW w:w="1814" w:type="dxa"/>
          </w:tcPr>
          <w:p w14:paraId="6B7D0BEE"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37.9 (11.8)</w:t>
            </w:r>
          </w:p>
        </w:tc>
        <w:tc>
          <w:tcPr>
            <w:tcW w:w="1761" w:type="dxa"/>
          </w:tcPr>
          <w:p w14:paraId="373FAA90"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32.6 (11.4)</w:t>
            </w:r>
          </w:p>
        </w:tc>
        <w:tc>
          <w:tcPr>
            <w:tcW w:w="1268" w:type="dxa"/>
          </w:tcPr>
          <w:p w14:paraId="207F2EF4"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0.007</w:t>
            </w:r>
          </w:p>
        </w:tc>
      </w:tr>
      <w:tr w:rsidR="0095461C" w:rsidRPr="00B95BB1" w14:paraId="243E98C2" w14:textId="77777777" w:rsidTr="00FD10D3">
        <w:trPr>
          <w:trHeight w:val="172"/>
        </w:trPr>
        <w:tc>
          <w:tcPr>
            <w:tcW w:w="3030" w:type="dxa"/>
          </w:tcPr>
          <w:p w14:paraId="7595FE9B"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Return to theatre</w:t>
            </w:r>
          </w:p>
        </w:tc>
        <w:tc>
          <w:tcPr>
            <w:tcW w:w="1814" w:type="dxa"/>
          </w:tcPr>
          <w:p w14:paraId="16556996"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 (1.6)</w:t>
            </w:r>
          </w:p>
        </w:tc>
        <w:tc>
          <w:tcPr>
            <w:tcW w:w="1761" w:type="dxa"/>
          </w:tcPr>
          <w:p w14:paraId="65C05AE9"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 (1.2)</w:t>
            </w:r>
          </w:p>
        </w:tc>
        <w:tc>
          <w:tcPr>
            <w:tcW w:w="1268" w:type="dxa"/>
          </w:tcPr>
          <w:p w14:paraId="1F6C780F"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1.00</w:t>
            </w:r>
          </w:p>
        </w:tc>
      </w:tr>
      <w:tr w:rsidR="0095461C" w:rsidRPr="00B95BB1" w14:paraId="6B5D80EF" w14:textId="77777777" w:rsidTr="00FD10D3">
        <w:trPr>
          <w:trHeight w:val="172"/>
        </w:trPr>
        <w:tc>
          <w:tcPr>
            <w:tcW w:w="3030" w:type="dxa"/>
          </w:tcPr>
          <w:p w14:paraId="107712C9"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LOS (mean days)</w:t>
            </w:r>
          </w:p>
        </w:tc>
        <w:tc>
          <w:tcPr>
            <w:tcW w:w="1814" w:type="dxa"/>
          </w:tcPr>
          <w:p w14:paraId="4318675C"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4.2 (2.1)</w:t>
            </w:r>
          </w:p>
        </w:tc>
        <w:tc>
          <w:tcPr>
            <w:tcW w:w="1761" w:type="dxa"/>
          </w:tcPr>
          <w:p w14:paraId="1A42130F"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3.9 (1.9)</w:t>
            </w:r>
          </w:p>
        </w:tc>
        <w:tc>
          <w:tcPr>
            <w:tcW w:w="1268" w:type="dxa"/>
          </w:tcPr>
          <w:p w14:paraId="73E1E9BB"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0.31</w:t>
            </w:r>
          </w:p>
        </w:tc>
      </w:tr>
      <w:tr w:rsidR="0095461C" w:rsidRPr="00B95BB1" w14:paraId="6BEBEDCC" w14:textId="77777777" w:rsidTr="00FD10D3">
        <w:trPr>
          <w:trHeight w:val="172"/>
        </w:trPr>
        <w:tc>
          <w:tcPr>
            <w:tcW w:w="3030" w:type="dxa"/>
          </w:tcPr>
          <w:p w14:paraId="7D2836F3"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Transfusion</w:t>
            </w:r>
          </w:p>
        </w:tc>
        <w:tc>
          <w:tcPr>
            <w:tcW w:w="1814" w:type="dxa"/>
          </w:tcPr>
          <w:p w14:paraId="0AD0F84C"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7 (11.1)</w:t>
            </w:r>
          </w:p>
        </w:tc>
        <w:tc>
          <w:tcPr>
            <w:tcW w:w="1761" w:type="dxa"/>
          </w:tcPr>
          <w:p w14:paraId="0DD2445E"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 (1.2)</w:t>
            </w:r>
          </w:p>
        </w:tc>
        <w:tc>
          <w:tcPr>
            <w:tcW w:w="1268" w:type="dxa"/>
          </w:tcPr>
          <w:p w14:paraId="56958BEF"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0.02</w:t>
            </w:r>
          </w:p>
        </w:tc>
      </w:tr>
      <w:tr w:rsidR="0095461C" w:rsidRPr="00B95BB1" w14:paraId="6DAE3B20" w14:textId="77777777" w:rsidTr="00FD10D3">
        <w:trPr>
          <w:trHeight w:val="172"/>
        </w:trPr>
        <w:tc>
          <w:tcPr>
            <w:tcW w:w="3030" w:type="dxa"/>
          </w:tcPr>
          <w:p w14:paraId="550EAD42"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No. units PRBC (total)</w:t>
            </w:r>
          </w:p>
        </w:tc>
        <w:tc>
          <w:tcPr>
            <w:tcW w:w="1814" w:type="dxa"/>
          </w:tcPr>
          <w:p w14:paraId="2F19AA73"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1.4 (0.5)</w:t>
            </w:r>
          </w:p>
        </w:tc>
        <w:tc>
          <w:tcPr>
            <w:tcW w:w="1761" w:type="dxa"/>
          </w:tcPr>
          <w:p w14:paraId="06ACBFB8"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1.0 (0.0)</w:t>
            </w:r>
          </w:p>
        </w:tc>
        <w:tc>
          <w:tcPr>
            <w:tcW w:w="1268" w:type="dxa"/>
          </w:tcPr>
          <w:p w14:paraId="2C43A354"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w:t>
            </w:r>
          </w:p>
        </w:tc>
      </w:tr>
      <w:tr w:rsidR="0095461C" w:rsidRPr="00B95BB1" w14:paraId="4F72A86A" w14:textId="77777777" w:rsidTr="00FD10D3">
        <w:trPr>
          <w:trHeight w:val="172"/>
        </w:trPr>
        <w:tc>
          <w:tcPr>
            <w:tcW w:w="3030" w:type="dxa"/>
          </w:tcPr>
          <w:p w14:paraId="501F1C68"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Day one Hb of those transfused (mean)</w:t>
            </w:r>
          </w:p>
        </w:tc>
        <w:tc>
          <w:tcPr>
            <w:tcW w:w="1814" w:type="dxa"/>
          </w:tcPr>
          <w:p w14:paraId="54919D45"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86.4 (17.2)</w:t>
            </w:r>
          </w:p>
        </w:tc>
        <w:tc>
          <w:tcPr>
            <w:tcW w:w="1761" w:type="dxa"/>
          </w:tcPr>
          <w:p w14:paraId="714B3196"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84.0 (0.0)</w:t>
            </w:r>
          </w:p>
        </w:tc>
        <w:tc>
          <w:tcPr>
            <w:tcW w:w="1268" w:type="dxa"/>
          </w:tcPr>
          <w:p w14:paraId="6CBA394E" w14:textId="77777777" w:rsidR="0095461C" w:rsidRPr="00B95BB1" w:rsidRDefault="0095461C" w:rsidP="009A7461">
            <w:pPr>
              <w:spacing w:after="240" w:line="480" w:lineRule="auto"/>
              <w:rPr>
                <w:rFonts w:ascii="Arial" w:hAnsi="Arial" w:cs="Arial"/>
                <w:sz w:val="16"/>
                <w:szCs w:val="16"/>
                <w:lang w:val="en-AU"/>
              </w:rPr>
            </w:pPr>
            <w:r w:rsidRPr="00B95BB1">
              <w:rPr>
                <w:rFonts w:ascii="Arial" w:hAnsi="Arial" w:cs="Arial"/>
                <w:sz w:val="16"/>
                <w:szCs w:val="16"/>
                <w:lang w:val="en-AU"/>
              </w:rPr>
              <w:t>*</w:t>
            </w:r>
          </w:p>
        </w:tc>
      </w:tr>
    </w:tbl>
    <w:p w14:paraId="7B0E3AD6" w14:textId="2FAA622C" w:rsidR="00AF4B7A" w:rsidRPr="00B95BB1" w:rsidRDefault="00C32F76" w:rsidP="009A7461">
      <w:pPr>
        <w:spacing w:line="480" w:lineRule="auto"/>
        <w:rPr>
          <w:rFonts w:ascii="Arial" w:hAnsi="Arial" w:cs="Arial"/>
          <w:sz w:val="16"/>
          <w:lang w:val="en-AU"/>
        </w:rPr>
      </w:pPr>
      <w:r w:rsidRPr="00B95BB1">
        <w:rPr>
          <w:rFonts w:ascii="Arial" w:hAnsi="Arial" w:cs="Arial"/>
          <w:sz w:val="16"/>
          <w:lang w:val="en-AU"/>
        </w:rPr>
        <w:t>*u</w:t>
      </w:r>
      <w:r w:rsidR="00AF4B7A" w:rsidRPr="00B95BB1">
        <w:rPr>
          <w:rFonts w:ascii="Arial" w:hAnsi="Arial" w:cs="Arial"/>
          <w:sz w:val="16"/>
          <w:lang w:val="en-AU"/>
        </w:rPr>
        <w:t>nable to calculate due to ≤2 patients in one sub-group</w:t>
      </w:r>
    </w:p>
    <w:sectPr w:rsidR="00AF4B7A" w:rsidRPr="00B95BB1" w:rsidSect="00B95BB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0CD3" w14:textId="77777777" w:rsidR="00F475F9" w:rsidRDefault="00F475F9" w:rsidP="00207E50">
      <w:r>
        <w:separator/>
      </w:r>
    </w:p>
  </w:endnote>
  <w:endnote w:type="continuationSeparator" w:id="0">
    <w:p w14:paraId="6C2FD996" w14:textId="77777777" w:rsidR="00F475F9" w:rsidRDefault="00F475F9" w:rsidP="0020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99C5" w14:textId="77777777" w:rsidR="003423A5" w:rsidRDefault="003423A5" w:rsidP="00525C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8DAD8C" w14:textId="77777777" w:rsidR="003423A5" w:rsidRDefault="003423A5" w:rsidP="00207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222A" w14:textId="77777777" w:rsidR="003423A5" w:rsidRDefault="003423A5" w:rsidP="00525C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EBC0E80" w14:textId="77777777" w:rsidR="003423A5" w:rsidRDefault="003423A5" w:rsidP="00207E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9811A" w14:textId="77777777" w:rsidR="00F475F9" w:rsidRDefault="00F475F9" w:rsidP="00207E50">
      <w:r>
        <w:separator/>
      </w:r>
    </w:p>
  </w:footnote>
  <w:footnote w:type="continuationSeparator" w:id="0">
    <w:p w14:paraId="59D84283" w14:textId="77777777" w:rsidR="00F475F9" w:rsidRDefault="00F475F9" w:rsidP="0020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6FE"/>
    <w:multiLevelType w:val="hybridMultilevel"/>
    <w:tmpl w:val="1A3CE45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DE6BE3"/>
    <w:multiLevelType w:val="hybridMultilevel"/>
    <w:tmpl w:val="8988936A"/>
    <w:lvl w:ilvl="0" w:tplc="CAC0BDEC">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D0B0E"/>
    <w:multiLevelType w:val="hybridMultilevel"/>
    <w:tmpl w:val="2566014A"/>
    <w:lvl w:ilvl="0" w:tplc="CDAE44E2">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55DD1"/>
    <w:multiLevelType w:val="hybridMultilevel"/>
    <w:tmpl w:val="13A0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D7A4D"/>
    <w:multiLevelType w:val="hybridMultilevel"/>
    <w:tmpl w:val="362EF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A5642ED"/>
    <w:multiLevelType w:val="hybridMultilevel"/>
    <w:tmpl w:val="668E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909DE"/>
    <w:multiLevelType w:val="hybridMultilevel"/>
    <w:tmpl w:val="944A75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5D6"/>
    <w:rsid w:val="00010848"/>
    <w:rsid w:val="000111FA"/>
    <w:rsid w:val="00011A4B"/>
    <w:rsid w:val="00032833"/>
    <w:rsid w:val="00033403"/>
    <w:rsid w:val="0004127B"/>
    <w:rsid w:val="0004351D"/>
    <w:rsid w:val="000464C8"/>
    <w:rsid w:val="00055A1B"/>
    <w:rsid w:val="000579CD"/>
    <w:rsid w:val="00060DEB"/>
    <w:rsid w:val="000A744A"/>
    <w:rsid w:val="000C1F44"/>
    <w:rsid w:val="000C7760"/>
    <w:rsid w:val="000E042B"/>
    <w:rsid w:val="00100636"/>
    <w:rsid w:val="00106CDA"/>
    <w:rsid w:val="00107D90"/>
    <w:rsid w:val="00141A0F"/>
    <w:rsid w:val="00145522"/>
    <w:rsid w:val="0015588C"/>
    <w:rsid w:val="00171517"/>
    <w:rsid w:val="00184AF6"/>
    <w:rsid w:val="001955D4"/>
    <w:rsid w:val="001A18AB"/>
    <w:rsid w:val="001B7771"/>
    <w:rsid w:val="001D1FF9"/>
    <w:rsid w:val="00205E49"/>
    <w:rsid w:val="00207E50"/>
    <w:rsid w:val="002102FE"/>
    <w:rsid w:val="002107C4"/>
    <w:rsid w:val="00216609"/>
    <w:rsid w:val="002344F0"/>
    <w:rsid w:val="002345A4"/>
    <w:rsid w:val="00251D08"/>
    <w:rsid w:val="002632AA"/>
    <w:rsid w:val="00264A4B"/>
    <w:rsid w:val="00272DC4"/>
    <w:rsid w:val="002855A6"/>
    <w:rsid w:val="0028679B"/>
    <w:rsid w:val="00290AF6"/>
    <w:rsid w:val="002C1330"/>
    <w:rsid w:val="002D3EAB"/>
    <w:rsid w:val="002E5E50"/>
    <w:rsid w:val="002F0974"/>
    <w:rsid w:val="002F169E"/>
    <w:rsid w:val="00325858"/>
    <w:rsid w:val="00342053"/>
    <w:rsid w:val="003423A5"/>
    <w:rsid w:val="00343F6B"/>
    <w:rsid w:val="00351539"/>
    <w:rsid w:val="00356D18"/>
    <w:rsid w:val="003737BA"/>
    <w:rsid w:val="003800BB"/>
    <w:rsid w:val="00387F3D"/>
    <w:rsid w:val="003B54B5"/>
    <w:rsid w:val="003D1316"/>
    <w:rsid w:val="003D3516"/>
    <w:rsid w:val="003D448C"/>
    <w:rsid w:val="003D4923"/>
    <w:rsid w:val="003F46B6"/>
    <w:rsid w:val="003F655B"/>
    <w:rsid w:val="00407F7F"/>
    <w:rsid w:val="00445DBE"/>
    <w:rsid w:val="00463A09"/>
    <w:rsid w:val="00472900"/>
    <w:rsid w:val="00475149"/>
    <w:rsid w:val="004818ED"/>
    <w:rsid w:val="004B1466"/>
    <w:rsid w:val="004B3C7D"/>
    <w:rsid w:val="004E2123"/>
    <w:rsid w:val="004E39F4"/>
    <w:rsid w:val="004F0AD6"/>
    <w:rsid w:val="0050340D"/>
    <w:rsid w:val="00506EE8"/>
    <w:rsid w:val="00513292"/>
    <w:rsid w:val="00517DB5"/>
    <w:rsid w:val="00523B24"/>
    <w:rsid w:val="00525CDA"/>
    <w:rsid w:val="005377D9"/>
    <w:rsid w:val="00546C00"/>
    <w:rsid w:val="00557AF9"/>
    <w:rsid w:val="00563A92"/>
    <w:rsid w:val="0057608C"/>
    <w:rsid w:val="005830AE"/>
    <w:rsid w:val="005A386E"/>
    <w:rsid w:val="005D5B85"/>
    <w:rsid w:val="005E6B21"/>
    <w:rsid w:val="005F00E4"/>
    <w:rsid w:val="006000A9"/>
    <w:rsid w:val="0060409B"/>
    <w:rsid w:val="00606A6B"/>
    <w:rsid w:val="00610837"/>
    <w:rsid w:val="006123DC"/>
    <w:rsid w:val="00622A12"/>
    <w:rsid w:val="0063293D"/>
    <w:rsid w:val="0063393E"/>
    <w:rsid w:val="00636E60"/>
    <w:rsid w:val="00640C57"/>
    <w:rsid w:val="00657036"/>
    <w:rsid w:val="00663FBE"/>
    <w:rsid w:val="00666D4E"/>
    <w:rsid w:val="00672313"/>
    <w:rsid w:val="00675A76"/>
    <w:rsid w:val="00686DAD"/>
    <w:rsid w:val="006940D2"/>
    <w:rsid w:val="006C537A"/>
    <w:rsid w:val="006D2AF4"/>
    <w:rsid w:val="006E23E7"/>
    <w:rsid w:val="00721512"/>
    <w:rsid w:val="00724511"/>
    <w:rsid w:val="00730A37"/>
    <w:rsid w:val="00744AB8"/>
    <w:rsid w:val="00752D00"/>
    <w:rsid w:val="00753A0A"/>
    <w:rsid w:val="007819B6"/>
    <w:rsid w:val="007953F0"/>
    <w:rsid w:val="007976BB"/>
    <w:rsid w:val="007A313B"/>
    <w:rsid w:val="007A6377"/>
    <w:rsid w:val="007B0C54"/>
    <w:rsid w:val="007B3876"/>
    <w:rsid w:val="007B399A"/>
    <w:rsid w:val="007B5792"/>
    <w:rsid w:val="007D1C36"/>
    <w:rsid w:val="007E336F"/>
    <w:rsid w:val="007E76E2"/>
    <w:rsid w:val="00800753"/>
    <w:rsid w:val="00801661"/>
    <w:rsid w:val="00802158"/>
    <w:rsid w:val="00813F3B"/>
    <w:rsid w:val="008142AA"/>
    <w:rsid w:val="00831DAE"/>
    <w:rsid w:val="00861E76"/>
    <w:rsid w:val="00864576"/>
    <w:rsid w:val="0086673E"/>
    <w:rsid w:val="00875ECC"/>
    <w:rsid w:val="008877BE"/>
    <w:rsid w:val="008A2B99"/>
    <w:rsid w:val="008A6A48"/>
    <w:rsid w:val="008B608C"/>
    <w:rsid w:val="008B6490"/>
    <w:rsid w:val="008C0BEC"/>
    <w:rsid w:val="00905D30"/>
    <w:rsid w:val="009216E0"/>
    <w:rsid w:val="0095461C"/>
    <w:rsid w:val="00955656"/>
    <w:rsid w:val="00966D10"/>
    <w:rsid w:val="00971F3F"/>
    <w:rsid w:val="009A41BF"/>
    <w:rsid w:val="009A6FEA"/>
    <w:rsid w:val="009A7461"/>
    <w:rsid w:val="009B1584"/>
    <w:rsid w:val="009B73B4"/>
    <w:rsid w:val="009D66A6"/>
    <w:rsid w:val="009F21E7"/>
    <w:rsid w:val="00A04625"/>
    <w:rsid w:val="00A1382E"/>
    <w:rsid w:val="00A20DC3"/>
    <w:rsid w:val="00A21660"/>
    <w:rsid w:val="00A24E35"/>
    <w:rsid w:val="00A36F6F"/>
    <w:rsid w:val="00A438E5"/>
    <w:rsid w:val="00A52B86"/>
    <w:rsid w:val="00A71B3E"/>
    <w:rsid w:val="00A73634"/>
    <w:rsid w:val="00A83757"/>
    <w:rsid w:val="00A914E9"/>
    <w:rsid w:val="00AB55D6"/>
    <w:rsid w:val="00AB7415"/>
    <w:rsid w:val="00AC0F4B"/>
    <w:rsid w:val="00AC3CDE"/>
    <w:rsid w:val="00AC41F0"/>
    <w:rsid w:val="00AC4CAC"/>
    <w:rsid w:val="00AD25A6"/>
    <w:rsid w:val="00AE16B8"/>
    <w:rsid w:val="00AE44CB"/>
    <w:rsid w:val="00AE5EB0"/>
    <w:rsid w:val="00AF1DF1"/>
    <w:rsid w:val="00AF4B7A"/>
    <w:rsid w:val="00AF5304"/>
    <w:rsid w:val="00B146F6"/>
    <w:rsid w:val="00B20CB6"/>
    <w:rsid w:val="00B340F4"/>
    <w:rsid w:val="00B45E83"/>
    <w:rsid w:val="00B663B2"/>
    <w:rsid w:val="00B82443"/>
    <w:rsid w:val="00B827D7"/>
    <w:rsid w:val="00B837B7"/>
    <w:rsid w:val="00B84D2E"/>
    <w:rsid w:val="00B87E42"/>
    <w:rsid w:val="00B95BB1"/>
    <w:rsid w:val="00BA7CCD"/>
    <w:rsid w:val="00BB086E"/>
    <w:rsid w:val="00BB2C71"/>
    <w:rsid w:val="00BE4730"/>
    <w:rsid w:val="00BE5BF1"/>
    <w:rsid w:val="00BE6553"/>
    <w:rsid w:val="00BE6831"/>
    <w:rsid w:val="00C00187"/>
    <w:rsid w:val="00C24348"/>
    <w:rsid w:val="00C30248"/>
    <w:rsid w:val="00C32F76"/>
    <w:rsid w:val="00C3544A"/>
    <w:rsid w:val="00C557F5"/>
    <w:rsid w:val="00C72242"/>
    <w:rsid w:val="00C72685"/>
    <w:rsid w:val="00C74382"/>
    <w:rsid w:val="00C945E1"/>
    <w:rsid w:val="00CA7447"/>
    <w:rsid w:val="00CA7C3E"/>
    <w:rsid w:val="00CD441C"/>
    <w:rsid w:val="00CD7DE8"/>
    <w:rsid w:val="00CE0BD5"/>
    <w:rsid w:val="00CF410E"/>
    <w:rsid w:val="00CF6FE6"/>
    <w:rsid w:val="00D00BC6"/>
    <w:rsid w:val="00D0341F"/>
    <w:rsid w:val="00D036B7"/>
    <w:rsid w:val="00D31DEC"/>
    <w:rsid w:val="00D4403B"/>
    <w:rsid w:val="00D45A73"/>
    <w:rsid w:val="00D55691"/>
    <w:rsid w:val="00D57A5D"/>
    <w:rsid w:val="00D623F1"/>
    <w:rsid w:val="00D7027C"/>
    <w:rsid w:val="00D76139"/>
    <w:rsid w:val="00D80B56"/>
    <w:rsid w:val="00D84825"/>
    <w:rsid w:val="00D85A3E"/>
    <w:rsid w:val="00DA558F"/>
    <w:rsid w:val="00DB03F0"/>
    <w:rsid w:val="00DC0845"/>
    <w:rsid w:val="00DC16CE"/>
    <w:rsid w:val="00DD1611"/>
    <w:rsid w:val="00DD3DB1"/>
    <w:rsid w:val="00DE0B4E"/>
    <w:rsid w:val="00DE4AC5"/>
    <w:rsid w:val="00DE5CD1"/>
    <w:rsid w:val="00E1212F"/>
    <w:rsid w:val="00E213D7"/>
    <w:rsid w:val="00E21D15"/>
    <w:rsid w:val="00E24F31"/>
    <w:rsid w:val="00E33DF6"/>
    <w:rsid w:val="00E34AD5"/>
    <w:rsid w:val="00E4078C"/>
    <w:rsid w:val="00E45D26"/>
    <w:rsid w:val="00E50DE4"/>
    <w:rsid w:val="00E830D9"/>
    <w:rsid w:val="00E8330D"/>
    <w:rsid w:val="00E900A5"/>
    <w:rsid w:val="00EA7DA1"/>
    <w:rsid w:val="00EB672E"/>
    <w:rsid w:val="00EC512A"/>
    <w:rsid w:val="00ED7E94"/>
    <w:rsid w:val="00F22C0B"/>
    <w:rsid w:val="00F475E8"/>
    <w:rsid w:val="00F475F9"/>
    <w:rsid w:val="00F762F7"/>
    <w:rsid w:val="00F847CF"/>
    <w:rsid w:val="00F8770E"/>
    <w:rsid w:val="00FA02E1"/>
    <w:rsid w:val="00FC1AAE"/>
    <w:rsid w:val="00FC2E0E"/>
    <w:rsid w:val="00FC7F82"/>
    <w:rsid w:val="00FD10D3"/>
    <w:rsid w:val="00FD4C98"/>
    <w:rsid w:val="00FD70D1"/>
    <w:rsid w:val="00FD74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4C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5304"/>
    <w:rPr>
      <w:rFonts w:ascii="Lucida Grande" w:hAnsi="Lucida Grande"/>
      <w:sz w:val="18"/>
      <w:szCs w:val="18"/>
    </w:rPr>
  </w:style>
  <w:style w:type="character" w:customStyle="1" w:styleId="BalloonTextChar">
    <w:name w:val="Balloon Text Char"/>
    <w:basedOn w:val="DefaultParagraphFont"/>
    <w:link w:val="BalloonText"/>
    <w:uiPriority w:val="99"/>
    <w:semiHidden/>
    <w:rsid w:val="00AF5304"/>
    <w:rPr>
      <w:rFonts w:ascii="Lucida Grande" w:hAnsi="Lucida Grande"/>
      <w:sz w:val="18"/>
      <w:szCs w:val="18"/>
    </w:rPr>
  </w:style>
  <w:style w:type="character" w:styleId="CommentReference">
    <w:name w:val="annotation reference"/>
    <w:basedOn w:val="DefaultParagraphFont"/>
    <w:uiPriority w:val="99"/>
    <w:semiHidden/>
    <w:unhideWhenUsed/>
    <w:rsid w:val="00A52B86"/>
    <w:rPr>
      <w:sz w:val="18"/>
      <w:szCs w:val="18"/>
    </w:rPr>
  </w:style>
  <w:style w:type="paragraph" w:styleId="CommentText">
    <w:name w:val="annotation text"/>
    <w:basedOn w:val="Normal"/>
    <w:link w:val="CommentTextChar"/>
    <w:uiPriority w:val="99"/>
    <w:semiHidden/>
    <w:unhideWhenUsed/>
    <w:rsid w:val="00A52B86"/>
  </w:style>
  <w:style w:type="character" w:customStyle="1" w:styleId="CommentTextChar">
    <w:name w:val="Comment Text Char"/>
    <w:basedOn w:val="DefaultParagraphFont"/>
    <w:link w:val="CommentText"/>
    <w:uiPriority w:val="99"/>
    <w:semiHidden/>
    <w:rsid w:val="00A52B86"/>
  </w:style>
  <w:style w:type="paragraph" w:styleId="CommentSubject">
    <w:name w:val="annotation subject"/>
    <w:basedOn w:val="CommentText"/>
    <w:next w:val="CommentText"/>
    <w:link w:val="CommentSubjectChar"/>
    <w:uiPriority w:val="99"/>
    <w:semiHidden/>
    <w:unhideWhenUsed/>
    <w:rsid w:val="00A52B86"/>
    <w:rPr>
      <w:b/>
      <w:bCs/>
      <w:sz w:val="20"/>
      <w:szCs w:val="20"/>
    </w:rPr>
  </w:style>
  <w:style w:type="character" w:customStyle="1" w:styleId="CommentSubjectChar">
    <w:name w:val="Comment Subject Char"/>
    <w:basedOn w:val="CommentTextChar"/>
    <w:link w:val="CommentSubject"/>
    <w:uiPriority w:val="99"/>
    <w:semiHidden/>
    <w:rsid w:val="00A52B86"/>
    <w:rPr>
      <w:b/>
      <w:bCs/>
      <w:sz w:val="20"/>
      <w:szCs w:val="20"/>
    </w:rPr>
  </w:style>
  <w:style w:type="paragraph" w:styleId="ListParagraph">
    <w:name w:val="List Paragraph"/>
    <w:basedOn w:val="Normal"/>
    <w:uiPriority w:val="34"/>
    <w:qFormat/>
    <w:rsid w:val="00387F3D"/>
    <w:pPr>
      <w:ind w:left="720"/>
      <w:contextualSpacing/>
    </w:pPr>
  </w:style>
  <w:style w:type="paragraph" w:styleId="Revision">
    <w:name w:val="Revision"/>
    <w:hidden/>
    <w:uiPriority w:val="99"/>
    <w:semiHidden/>
    <w:rsid w:val="00966D10"/>
  </w:style>
  <w:style w:type="paragraph" w:styleId="Footer">
    <w:name w:val="footer"/>
    <w:basedOn w:val="Normal"/>
    <w:link w:val="FooterChar"/>
    <w:uiPriority w:val="99"/>
    <w:unhideWhenUsed/>
    <w:rsid w:val="00207E50"/>
    <w:pPr>
      <w:tabs>
        <w:tab w:val="center" w:pos="4513"/>
        <w:tab w:val="right" w:pos="9026"/>
      </w:tabs>
    </w:pPr>
  </w:style>
  <w:style w:type="character" w:customStyle="1" w:styleId="FooterChar">
    <w:name w:val="Footer Char"/>
    <w:basedOn w:val="DefaultParagraphFont"/>
    <w:link w:val="Footer"/>
    <w:uiPriority w:val="99"/>
    <w:rsid w:val="00207E50"/>
  </w:style>
  <w:style w:type="character" w:styleId="PageNumber">
    <w:name w:val="page number"/>
    <w:basedOn w:val="DefaultParagraphFont"/>
    <w:uiPriority w:val="99"/>
    <w:semiHidden/>
    <w:unhideWhenUsed/>
    <w:rsid w:val="00207E50"/>
  </w:style>
  <w:style w:type="character" w:styleId="Hyperlink">
    <w:name w:val="Hyperlink"/>
    <w:basedOn w:val="DefaultParagraphFont"/>
    <w:uiPriority w:val="99"/>
    <w:unhideWhenUsed/>
    <w:rsid w:val="00D036B7"/>
    <w:rPr>
      <w:color w:val="0563C1" w:themeColor="hyperlink"/>
      <w:u w:val="single"/>
    </w:rPr>
  </w:style>
  <w:style w:type="paragraph" w:styleId="Header">
    <w:name w:val="header"/>
    <w:basedOn w:val="Normal"/>
    <w:link w:val="HeaderChar"/>
    <w:uiPriority w:val="99"/>
    <w:unhideWhenUsed/>
    <w:rsid w:val="00011A4B"/>
    <w:pPr>
      <w:tabs>
        <w:tab w:val="center" w:pos="4513"/>
        <w:tab w:val="right" w:pos="9026"/>
      </w:tabs>
    </w:pPr>
  </w:style>
  <w:style w:type="character" w:customStyle="1" w:styleId="HeaderChar">
    <w:name w:val="Header Char"/>
    <w:basedOn w:val="DefaultParagraphFont"/>
    <w:link w:val="Header"/>
    <w:uiPriority w:val="99"/>
    <w:rsid w:val="00011A4B"/>
  </w:style>
  <w:style w:type="character" w:styleId="LineNumber">
    <w:name w:val="line number"/>
    <w:basedOn w:val="DefaultParagraphFont"/>
    <w:uiPriority w:val="99"/>
    <w:semiHidden/>
    <w:unhideWhenUsed/>
    <w:rsid w:val="00011A4B"/>
  </w:style>
  <w:style w:type="character" w:styleId="UnresolvedMention">
    <w:name w:val="Unresolved Mention"/>
    <w:basedOn w:val="DefaultParagraphFont"/>
    <w:uiPriority w:val="99"/>
    <w:semiHidden/>
    <w:unhideWhenUsed/>
    <w:rsid w:val="00E8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5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fusion.com.au/bsib_july2016_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4249-97A5-456D-89A4-AC50A2F4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Collie</cp:lastModifiedBy>
  <cp:revision>2</cp:revision>
  <dcterms:created xsi:type="dcterms:W3CDTF">2020-01-22T04:24:00Z</dcterms:created>
  <dcterms:modified xsi:type="dcterms:W3CDTF">2020-01-22T04:24:00Z</dcterms:modified>
</cp:coreProperties>
</file>