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761C6" w14:textId="77777777" w:rsidR="003B40F6" w:rsidRPr="007E2B0D" w:rsidRDefault="003B40F6" w:rsidP="003B40F6">
      <w:pPr>
        <w:spacing w:line="360" w:lineRule="auto"/>
        <w:jc w:val="center"/>
        <w:outlineLvl w:val="0"/>
        <w:rPr>
          <w:b/>
        </w:rPr>
      </w:pPr>
    </w:p>
    <w:p w14:paraId="01FBF362" w14:textId="6675AF55" w:rsidR="003B40F6" w:rsidRDefault="009E20F2" w:rsidP="00B10AB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Chapter 24</w:t>
      </w:r>
    </w:p>
    <w:p w14:paraId="1F194E4C" w14:textId="77777777" w:rsidR="00B10ABF" w:rsidRPr="00B10ABF" w:rsidRDefault="00B10ABF" w:rsidP="00B10ABF">
      <w:pPr>
        <w:spacing w:after="0" w:line="480" w:lineRule="auto"/>
        <w:jc w:val="center"/>
        <w:rPr>
          <w:rFonts w:ascii="Times New Roman" w:hAnsi="Times New Roman" w:cs="Times New Roman"/>
          <w:b/>
          <w:bCs/>
          <w:sz w:val="24"/>
          <w:szCs w:val="24"/>
        </w:rPr>
      </w:pPr>
    </w:p>
    <w:p w14:paraId="39B4B76A" w14:textId="0FC3CE6E" w:rsidR="003B40F6" w:rsidRDefault="003B40F6" w:rsidP="00B10ABF">
      <w:pPr>
        <w:spacing w:after="0"/>
        <w:jc w:val="center"/>
        <w:rPr>
          <w:rFonts w:asciiTheme="majorBidi" w:hAnsiTheme="majorBidi" w:cstheme="majorBidi"/>
          <w:b/>
          <w:bCs/>
          <w:sz w:val="24"/>
          <w:szCs w:val="24"/>
        </w:rPr>
      </w:pPr>
      <w:r w:rsidRPr="00AD5B2A">
        <w:rPr>
          <w:rFonts w:ascii="Times New Roman" w:hAnsi="Times New Roman" w:cs="Times New Roman"/>
          <w:b/>
          <w:sz w:val="24"/>
          <w:szCs w:val="24"/>
        </w:rPr>
        <w:tab/>
      </w:r>
      <w:r w:rsidRPr="004212D8">
        <w:rPr>
          <w:rFonts w:asciiTheme="majorBidi" w:hAnsiTheme="majorBidi" w:cstheme="majorBidi"/>
          <w:b/>
          <w:bCs/>
          <w:sz w:val="24"/>
          <w:szCs w:val="24"/>
        </w:rPr>
        <w:t>COMMUNITY HEALTH PLANNING: RURAL RESPONSES TO CHANGE</w:t>
      </w:r>
    </w:p>
    <w:p w14:paraId="28DD8F8E" w14:textId="77777777" w:rsidR="00B10ABF" w:rsidRPr="003B40F6" w:rsidRDefault="00B10ABF" w:rsidP="00B10ABF">
      <w:pPr>
        <w:spacing w:after="0"/>
        <w:jc w:val="center"/>
        <w:rPr>
          <w:rFonts w:asciiTheme="majorBidi" w:hAnsiTheme="majorBidi" w:cstheme="majorBidi"/>
          <w:b/>
          <w:bCs/>
          <w:sz w:val="24"/>
          <w:szCs w:val="24"/>
        </w:rPr>
      </w:pPr>
    </w:p>
    <w:p w14:paraId="03400E0B" w14:textId="77777777" w:rsidR="00386A50" w:rsidRDefault="00386A50" w:rsidP="00B10ABF">
      <w:pPr>
        <w:spacing w:after="0"/>
        <w:jc w:val="center"/>
        <w:rPr>
          <w:rFonts w:ascii="Times New Roman" w:hAnsi="Times New Roman" w:cs="Times New Roman"/>
          <w:b/>
          <w:sz w:val="24"/>
          <w:szCs w:val="24"/>
        </w:rPr>
      </w:pPr>
    </w:p>
    <w:p w14:paraId="4B676EDF" w14:textId="77777777" w:rsidR="00386A50" w:rsidRDefault="003B40F6" w:rsidP="003B40F6">
      <w:pPr>
        <w:jc w:val="center"/>
        <w:rPr>
          <w:rFonts w:ascii="Times New Roman" w:hAnsi="Times New Roman" w:cs="Times New Roman"/>
          <w:b/>
          <w:sz w:val="24"/>
          <w:szCs w:val="24"/>
        </w:rPr>
      </w:pPr>
      <w:r>
        <w:rPr>
          <w:rFonts w:ascii="Times New Roman" w:hAnsi="Times New Roman" w:cs="Times New Roman"/>
          <w:b/>
          <w:sz w:val="24"/>
          <w:szCs w:val="24"/>
        </w:rPr>
        <w:t xml:space="preserve">SUE KILPATRICK, </w:t>
      </w:r>
    </w:p>
    <w:p w14:paraId="5AAA410A" w14:textId="77777777" w:rsidR="00386A50" w:rsidRDefault="003B40F6" w:rsidP="003B40F6">
      <w:pPr>
        <w:jc w:val="center"/>
        <w:rPr>
          <w:rFonts w:ascii="Times New Roman" w:hAnsi="Times New Roman" w:cs="Times New Roman"/>
          <w:b/>
          <w:sz w:val="24"/>
          <w:szCs w:val="24"/>
        </w:rPr>
      </w:pPr>
      <w:r>
        <w:rPr>
          <w:rFonts w:ascii="Times New Roman" w:hAnsi="Times New Roman" w:cs="Times New Roman"/>
          <w:b/>
          <w:sz w:val="24"/>
          <w:szCs w:val="24"/>
        </w:rPr>
        <w:t xml:space="preserve">STUART AUCKLAND </w:t>
      </w:r>
    </w:p>
    <w:p w14:paraId="0233F390" w14:textId="508DFAE4" w:rsidR="003B40F6" w:rsidRDefault="003B40F6" w:rsidP="003B40F6">
      <w:pPr>
        <w:jc w:val="center"/>
        <w:rPr>
          <w:rFonts w:ascii="Times New Roman" w:hAnsi="Times New Roman" w:cs="Times New Roman"/>
          <w:b/>
          <w:sz w:val="24"/>
          <w:szCs w:val="24"/>
        </w:rPr>
      </w:pPr>
      <w:r>
        <w:rPr>
          <w:rFonts w:ascii="Times New Roman" w:hAnsi="Times New Roman" w:cs="Times New Roman"/>
          <w:b/>
          <w:sz w:val="24"/>
          <w:szCs w:val="24"/>
        </w:rPr>
        <w:t>JESSICA WOODROFFE</w:t>
      </w:r>
    </w:p>
    <w:p w14:paraId="6FBDACFC" w14:textId="25024D33" w:rsidR="003B40F6" w:rsidRPr="00661631" w:rsidRDefault="003B40F6" w:rsidP="00661631">
      <w:pPr>
        <w:jc w:val="center"/>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661631" w:rsidRPr="00661631" w14:paraId="0F55C54C" w14:textId="77777777" w:rsidTr="00661631">
        <w:tc>
          <w:tcPr>
            <w:tcW w:w="9242" w:type="dxa"/>
            <w:shd w:val="clear" w:color="auto" w:fill="D9D9D9" w:themeFill="background1" w:themeFillShade="D9"/>
          </w:tcPr>
          <w:p w14:paraId="39CB9A4E" w14:textId="52EB6F23" w:rsidR="00661631" w:rsidRPr="00661631" w:rsidRDefault="00661631" w:rsidP="00661631">
            <w:pPr>
              <w:spacing w:line="480" w:lineRule="auto"/>
              <w:rPr>
                <w:rFonts w:ascii="Arial" w:hAnsi="Arial" w:cs="Arial"/>
                <w:b/>
                <w:bCs/>
                <w:sz w:val="20"/>
              </w:rPr>
            </w:pPr>
            <w:r w:rsidRPr="00661631">
              <w:rPr>
                <w:rFonts w:ascii="Arial" w:hAnsi="Arial" w:cs="Arial"/>
                <w:b/>
                <w:bCs/>
                <w:sz w:val="20"/>
              </w:rPr>
              <w:t>Citation:</w:t>
            </w:r>
          </w:p>
          <w:p w14:paraId="54EFD1F0" w14:textId="2D137286" w:rsidR="00661631" w:rsidRPr="00661631" w:rsidRDefault="00661631" w:rsidP="003B40F6">
            <w:pPr>
              <w:spacing w:line="480" w:lineRule="auto"/>
              <w:rPr>
                <w:rFonts w:ascii="Arial" w:hAnsi="Arial" w:cs="Arial"/>
                <w:bCs/>
                <w:sz w:val="20"/>
              </w:rPr>
            </w:pPr>
            <w:r w:rsidRPr="00661631">
              <w:rPr>
                <w:rFonts w:ascii="Arial" w:hAnsi="Arial" w:cs="Arial"/>
                <w:bCs/>
                <w:sz w:val="20"/>
              </w:rPr>
              <w:t xml:space="preserve">Kilpatrick, S., Auckland, S. and </w:t>
            </w:r>
            <w:proofErr w:type="spellStart"/>
            <w:r w:rsidRPr="00661631">
              <w:rPr>
                <w:rFonts w:ascii="Arial" w:hAnsi="Arial" w:cs="Arial"/>
                <w:bCs/>
                <w:sz w:val="20"/>
              </w:rPr>
              <w:t>Woodroffe</w:t>
            </w:r>
            <w:proofErr w:type="spellEnd"/>
            <w:r w:rsidRPr="00661631">
              <w:rPr>
                <w:rFonts w:ascii="Arial" w:hAnsi="Arial" w:cs="Arial"/>
                <w:bCs/>
                <w:sz w:val="20"/>
              </w:rPr>
              <w:t xml:space="preserve">, J. (2019) Community Health Planning: Rural Responses To Change, in: Scott, M., </w:t>
            </w:r>
            <w:proofErr w:type="spellStart"/>
            <w:r w:rsidRPr="00661631">
              <w:rPr>
                <w:rFonts w:ascii="Arial" w:hAnsi="Arial" w:cs="Arial"/>
                <w:bCs/>
                <w:sz w:val="20"/>
              </w:rPr>
              <w:t>Gallent</w:t>
            </w:r>
            <w:proofErr w:type="spellEnd"/>
            <w:r w:rsidRPr="00661631">
              <w:rPr>
                <w:rFonts w:ascii="Arial" w:hAnsi="Arial" w:cs="Arial"/>
                <w:bCs/>
                <w:sz w:val="20"/>
              </w:rPr>
              <w:t>, N. and Gkartzios, M. (</w:t>
            </w:r>
            <w:proofErr w:type="spellStart"/>
            <w:r w:rsidRPr="00661631">
              <w:rPr>
                <w:rFonts w:ascii="Arial" w:hAnsi="Arial" w:cs="Arial"/>
                <w:bCs/>
                <w:sz w:val="20"/>
              </w:rPr>
              <w:t>eds</w:t>
            </w:r>
            <w:proofErr w:type="spellEnd"/>
            <w:r w:rsidRPr="00661631">
              <w:rPr>
                <w:rFonts w:ascii="Arial" w:hAnsi="Arial" w:cs="Arial"/>
                <w:bCs/>
                <w:sz w:val="20"/>
              </w:rPr>
              <w:t xml:space="preserve">) </w:t>
            </w:r>
            <w:r w:rsidRPr="00661631">
              <w:rPr>
                <w:rFonts w:ascii="Arial" w:hAnsi="Arial" w:cs="Arial"/>
                <w:bCs/>
                <w:i/>
                <w:sz w:val="20"/>
              </w:rPr>
              <w:t>The Routledge Companion to Rural Planning</w:t>
            </w:r>
            <w:r w:rsidRPr="00661631">
              <w:rPr>
                <w:rFonts w:ascii="Arial" w:hAnsi="Arial" w:cs="Arial"/>
                <w:bCs/>
                <w:sz w:val="20"/>
              </w:rPr>
              <w:t>, Routledge: New York</w:t>
            </w:r>
          </w:p>
        </w:tc>
      </w:tr>
    </w:tbl>
    <w:p w14:paraId="2D2DA4F4" w14:textId="77777777" w:rsidR="00661631" w:rsidRDefault="00661631" w:rsidP="003B40F6">
      <w:pPr>
        <w:spacing w:line="480" w:lineRule="auto"/>
        <w:rPr>
          <w:rFonts w:ascii="Times New Roman" w:hAnsi="Times New Roman" w:cs="Times New Roman"/>
          <w:b/>
          <w:bCs/>
        </w:rPr>
      </w:pPr>
    </w:p>
    <w:p w14:paraId="5AA22FDD" w14:textId="77777777" w:rsidR="003B40F6" w:rsidRPr="003B40F6" w:rsidRDefault="003B40F6" w:rsidP="003B40F6">
      <w:pPr>
        <w:spacing w:line="480" w:lineRule="auto"/>
        <w:rPr>
          <w:rFonts w:ascii="Times New Roman" w:hAnsi="Times New Roman" w:cs="Times New Roman"/>
          <w:b/>
          <w:bCs/>
          <w:sz w:val="24"/>
          <w:szCs w:val="24"/>
        </w:rPr>
      </w:pPr>
      <w:r w:rsidRPr="003B40F6">
        <w:rPr>
          <w:rFonts w:ascii="Times New Roman" w:hAnsi="Times New Roman" w:cs="Times New Roman"/>
          <w:b/>
          <w:bCs/>
          <w:sz w:val="24"/>
          <w:szCs w:val="24"/>
        </w:rPr>
        <w:t>Abstract</w:t>
      </w:r>
    </w:p>
    <w:p w14:paraId="33859EAB" w14:textId="6A1F4914" w:rsidR="003B40F6" w:rsidRDefault="003B40F6" w:rsidP="003B40F6">
      <w:pPr>
        <w:spacing w:line="480" w:lineRule="auto"/>
        <w:rPr>
          <w:rFonts w:ascii="Arial" w:hAnsi="Arial" w:cs="Arial"/>
          <w:bCs/>
          <w:szCs w:val="21"/>
        </w:rPr>
      </w:pPr>
      <w:r w:rsidRPr="003B40F6">
        <w:rPr>
          <w:rFonts w:ascii="Arial" w:hAnsi="Arial" w:cs="Arial"/>
          <w:bCs/>
          <w:szCs w:val="21"/>
        </w:rPr>
        <w:t xml:space="preserve">Social and economic change and isolation can be catalysts for a variety of health and well-being outcomes, and also for a variety of innovative strategic responses where rural communities and industries take control of their own health and </w:t>
      </w:r>
      <w:proofErr w:type="gramStart"/>
      <w:r w:rsidRPr="003B40F6">
        <w:rPr>
          <w:rFonts w:ascii="Arial" w:hAnsi="Arial" w:cs="Arial"/>
          <w:bCs/>
          <w:szCs w:val="21"/>
        </w:rPr>
        <w:t>well-being</w:t>
      </w:r>
      <w:proofErr w:type="gramEnd"/>
      <w:r w:rsidRPr="003B40F6">
        <w:rPr>
          <w:rFonts w:ascii="Arial" w:hAnsi="Arial" w:cs="Arial"/>
          <w:bCs/>
          <w:szCs w:val="21"/>
        </w:rPr>
        <w:t xml:space="preserve">. Rural health can link to particular lifestyles and occupations, to the accessibility of health and well-being infrastructure (doctors, opportunities for physical activity, etc.), the social networks that provide a soft support to communities and individuals, and, as education is a key social determinant of health, to opportunities for education and learning. This chapter introduces health as a key theme for rural planning before focusing on case studies of rural communities and rural industry bodies who have actively collaborated with organisations to drive improvement in health and well-being and support through understanding of their own needs and priorities. It concludes that effective rural health planning should involve strength–based, community health development approaches to build relationships between community members and between community and health services.  </w:t>
      </w:r>
    </w:p>
    <w:p w14:paraId="4D436D64" w14:textId="77777777" w:rsidR="003B40F6" w:rsidRPr="003B40F6" w:rsidRDefault="003B40F6" w:rsidP="003B40F6">
      <w:pPr>
        <w:spacing w:line="480" w:lineRule="auto"/>
        <w:rPr>
          <w:rFonts w:ascii="Arial" w:hAnsi="Arial" w:cs="Arial"/>
          <w:bCs/>
          <w:szCs w:val="21"/>
        </w:rPr>
      </w:pPr>
    </w:p>
    <w:p w14:paraId="34FDEE13" w14:textId="77777777" w:rsidR="00B85E25" w:rsidRPr="00127DDD" w:rsidRDefault="00127DDD" w:rsidP="00557AB3">
      <w:pPr>
        <w:pStyle w:val="Heading1"/>
        <w:spacing w:after="0" w:line="480" w:lineRule="auto"/>
      </w:pPr>
      <w:r w:rsidRPr="00127DDD">
        <w:lastRenderedPageBreak/>
        <w:t xml:space="preserve">INTRODUCTION </w:t>
      </w:r>
    </w:p>
    <w:p w14:paraId="6739F6E8" w14:textId="7BE0DB22" w:rsidR="00593727" w:rsidRPr="003B40F6" w:rsidRDefault="00593727" w:rsidP="00557AB3">
      <w:pPr>
        <w:spacing w:after="0" w:line="480" w:lineRule="auto"/>
        <w:rPr>
          <w:rFonts w:ascii="Arial" w:hAnsi="Arial" w:cs="Arial"/>
          <w:szCs w:val="21"/>
        </w:rPr>
      </w:pPr>
      <w:r w:rsidRPr="003B40F6">
        <w:rPr>
          <w:rFonts w:ascii="Arial" w:hAnsi="Arial" w:cs="Arial"/>
          <w:szCs w:val="21"/>
        </w:rPr>
        <w:t xml:space="preserve">The challenges facing rural communities have been </w:t>
      </w:r>
      <w:r w:rsidR="00EF4C68" w:rsidRPr="003B40F6">
        <w:rPr>
          <w:rFonts w:ascii="Arial" w:hAnsi="Arial" w:cs="Arial"/>
          <w:szCs w:val="21"/>
        </w:rPr>
        <w:t>high</w:t>
      </w:r>
      <w:r w:rsidRPr="003B40F6">
        <w:rPr>
          <w:rFonts w:ascii="Arial" w:hAnsi="Arial" w:cs="Arial"/>
          <w:szCs w:val="21"/>
        </w:rPr>
        <w:t xml:space="preserve">lighted increasingly in past decades as </w:t>
      </w:r>
      <w:r w:rsidR="002C4523" w:rsidRPr="003B40F6">
        <w:rPr>
          <w:rFonts w:ascii="Arial" w:hAnsi="Arial" w:cs="Arial"/>
          <w:szCs w:val="21"/>
        </w:rPr>
        <w:t xml:space="preserve">rural communities </w:t>
      </w:r>
      <w:r w:rsidRPr="003B40F6">
        <w:rPr>
          <w:rFonts w:ascii="Arial" w:hAnsi="Arial" w:cs="Arial"/>
          <w:szCs w:val="21"/>
        </w:rPr>
        <w:t>seek to adapt to signifi</w:t>
      </w:r>
      <w:r w:rsidR="00A10BBB" w:rsidRPr="003B40F6">
        <w:rPr>
          <w:rFonts w:ascii="Arial" w:hAnsi="Arial" w:cs="Arial"/>
          <w:szCs w:val="21"/>
        </w:rPr>
        <w:t>cant social and economic change</w:t>
      </w:r>
      <w:r w:rsidRPr="003B40F6">
        <w:rPr>
          <w:rFonts w:ascii="Arial" w:hAnsi="Arial" w:cs="Arial"/>
          <w:szCs w:val="21"/>
        </w:rPr>
        <w:t xml:space="preserve"> (</w:t>
      </w:r>
      <w:r w:rsidR="00D95C30" w:rsidRPr="003B40F6">
        <w:rPr>
          <w:rFonts w:ascii="Arial" w:hAnsi="Arial" w:cs="Arial"/>
          <w:szCs w:val="21"/>
        </w:rPr>
        <w:t>Flora</w:t>
      </w:r>
      <w:r w:rsidR="00386A50">
        <w:rPr>
          <w:rFonts w:ascii="Arial" w:hAnsi="Arial" w:cs="Arial"/>
          <w:szCs w:val="21"/>
        </w:rPr>
        <w:t xml:space="preserve"> et al.,</w:t>
      </w:r>
      <w:r w:rsidR="002C6D13" w:rsidRPr="003B40F6">
        <w:rPr>
          <w:rFonts w:ascii="Arial" w:hAnsi="Arial" w:cs="Arial"/>
          <w:szCs w:val="21"/>
        </w:rPr>
        <w:t xml:space="preserve"> 2015</w:t>
      </w:r>
      <w:r w:rsidR="00386A50">
        <w:rPr>
          <w:rFonts w:ascii="Arial" w:hAnsi="Arial" w:cs="Arial"/>
          <w:szCs w:val="21"/>
        </w:rPr>
        <w:t xml:space="preserve">). </w:t>
      </w:r>
      <w:r w:rsidRPr="003B40F6">
        <w:rPr>
          <w:rFonts w:ascii="Arial" w:hAnsi="Arial" w:cs="Arial"/>
          <w:szCs w:val="21"/>
        </w:rPr>
        <w:t xml:space="preserve">This chapter </w:t>
      </w:r>
      <w:r w:rsidR="00D720DE" w:rsidRPr="003B40F6">
        <w:rPr>
          <w:rFonts w:ascii="Arial" w:hAnsi="Arial" w:cs="Arial"/>
          <w:szCs w:val="21"/>
        </w:rPr>
        <w:t xml:space="preserve">introduces </w:t>
      </w:r>
      <w:r w:rsidR="00581C71" w:rsidRPr="003B40F6">
        <w:rPr>
          <w:rFonts w:ascii="Arial" w:hAnsi="Arial" w:cs="Arial"/>
          <w:szCs w:val="21"/>
        </w:rPr>
        <w:t xml:space="preserve">community </w:t>
      </w:r>
      <w:r w:rsidR="00D720DE" w:rsidRPr="003B40F6">
        <w:rPr>
          <w:rFonts w:ascii="Arial" w:hAnsi="Arial" w:cs="Arial"/>
          <w:szCs w:val="21"/>
        </w:rPr>
        <w:t>health as a key theme for rural planning</w:t>
      </w:r>
      <w:r w:rsidR="00581C71" w:rsidRPr="003B40F6">
        <w:rPr>
          <w:rFonts w:ascii="Arial" w:hAnsi="Arial" w:cs="Arial"/>
          <w:szCs w:val="21"/>
        </w:rPr>
        <w:t xml:space="preserve">. It argues </w:t>
      </w:r>
      <w:r w:rsidR="002C4523" w:rsidRPr="003B40F6">
        <w:rPr>
          <w:rFonts w:ascii="Arial" w:hAnsi="Arial" w:cs="Arial"/>
          <w:szCs w:val="21"/>
        </w:rPr>
        <w:t>that effective</w:t>
      </w:r>
      <w:r w:rsidR="00581C71" w:rsidRPr="003B40F6">
        <w:rPr>
          <w:rFonts w:ascii="Arial" w:hAnsi="Arial" w:cs="Arial"/>
          <w:szCs w:val="21"/>
        </w:rPr>
        <w:t xml:space="preserve"> community health planning</w:t>
      </w:r>
      <w:r w:rsidR="002B5215" w:rsidRPr="003B40F6">
        <w:rPr>
          <w:rFonts w:ascii="Arial" w:hAnsi="Arial" w:cs="Arial"/>
          <w:szCs w:val="21"/>
        </w:rPr>
        <w:t xml:space="preserve"> is a process</w:t>
      </w:r>
      <w:r w:rsidR="003A461D" w:rsidRPr="003B40F6">
        <w:rPr>
          <w:rFonts w:ascii="Arial" w:hAnsi="Arial" w:cs="Arial"/>
          <w:szCs w:val="21"/>
        </w:rPr>
        <w:t xml:space="preserve"> that should be</w:t>
      </w:r>
      <w:r w:rsidR="002B5215" w:rsidRPr="003B40F6">
        <w:rPr>
          <w:rFonts w:ascii="Arial" w:hAnsi="Arial" w:cs="Arial"/>
          <w:szCs w:val="21"/>
        </w:rPr>
        <w:t xml:space="preserve"> </w:t>
      </w:r>
      <w:r w:rsidR="00BF5F2A" w:rsidRPr="003B40F6">
        <w:rPr>
          <w:rFonts w:ascii="Arial" w:hAnsi="Arial" w:cs="Arial"/>
          <w:szCs w:val="21"/>
        </w:rPr>
        <w:t xml:space="preserve">fundamentally </w:t>
      </w:r>
      <w:r w:rsidR="002B5215" w:rsidRPr="003B40F6">
        <w:rPr>
          <w:rFonts w:ascii="Arial" w:hAnsi="Arial" w:cs="Arial"/>
          <w:szCs w:val="21"/>
        </w:rPr>
        <w:t>underpinned by consultation and involvement of</w:t>
      </w:r>
      <w:r w:rsidR="00A64E1F" w:rsidRPr="003B40F6">
        <w:rPr>
          <w:rFonts w:ascii="Arial" w:hAnsi="Arial" w:cs="Arial"/>
          <w:szCs w:val="21"/>
        </w:rPr>
        <w:t xml:space="preserve"> </w:t>
      </w:r>
      <w:r w:rsidR="00581C71" w:rsidRPr="003B40F6">
        <w:rPr>
          <w:rFonts w:ascii="Arial" w:hAnsi="Arial" w:cs="Arial"/>
          <w:szCs w:val="21"/>
        </w:rPr>
        <w:t>community members</w:t>
      </w:r>
      <w:r w:rsidR="00424F12" w:rsidRPr="003B40F6">
        <w:rPr>
          <w:rFonts w:ascii="Arial" w:hAnsi="Arial" w:cs="Arial"/>
          <w:szCs w:val="21"/>
        </w:rPr>
        <w:t xml:space="preserve"> in order to balance private verses public interests</w:t>
      </w:r>
      <w:r w:rsidR="00B5557C" w:rsidRPr="003B40F6">
        <w:rPr>
          <w:rFonts w:ascii="Arial" w:hAnsi="Arial" w:cs="Arial"/>
          <w:szCs w:val="21"/>
        </w:rPr>
        <w:t xml:space="preserve"> in the delivery and allocation of health resources</w:t>
      </w:r>
      <w:r w:rsidR="00A64E1F" w:rsidRPr="003B40F6">
        <w:rPr>
          <w:rFonts w:ascii="Arial" w:hAnsi="Arial" w:cs="Arial"/>
          <w:szCs w:val="21"/>
        </w:rPr>
        <w:t>.</w:t>
      </w:r>
      <w:r w:rsidR="00581C71" w:rsidRPr="003B40F6">
        <w:rPr>
          <w:rFonts w:ascii="Arial" w:hAnsi="Arial" w:cs="Arial"/>
          <w:szCs w:val="21"/>
        </w:rPr>
        <w:t xml:space="preserve"> </w:t>
      </w:r>
      <w:r w:rsidR="00B5557C" w:rsidRPr="003B40F6">
        <w:rPr>
          <w:rFonts w:ascii="Arial" w:hAnsi="Arial" w:cs="Arial"/>
          <w:szCs w:val="21"/>
        </w:rPr>
        <w:t>We</w:t>
      </w:r>
      <w:r w:rsidR="00D720DE" w:rsidRPr="003B40F6">
        <w:rPr>
          <w:rFonts w:ascii="Arial" w:hAnsi="Arial" w:cs="Arial"/>
          <w:szCs w:val="21"/>
        </w:rPr>
        <w:t xml:space="preserve"> </w:t>
      </w:r>
      <w:r w:rsidR="00B5557C" w:rsidRPr="003B40F6">
        <w:rPr>
          <w:rFonts w:ascii="Arial" w:hAnsi="Arial" w:cs="Arial"/>
          <w:szCs w:val="21"/>
        </w:rPr>
        <w:t>explore</w:t>
      </w:r>
      <w:r w:rsidRPr="003B40F6">
        <w:rPr>
          <w:rFonts w:ascii="Arial" w:hAnsi="Arial" w:cs="Arial"/>
          <w:szCs w:val="21"/>
        </w:rPr>
        <w:t xml:space="preserve"> </w:t>
      </w:r>
      <w:r w:rsidR="00A64E1F" w:rsidRPr="003B40F6">
        <w:rPr>
          <w:rFonts w:ascii="Arial" w:hAnsi="Arial" w:cs="Arial"/>
          <w:szCs w:val="21"/>
        </w:rPr>
        <w:t xml:space="preserve">a number of key elements which underpin </w:t>
      </w:r>
      <w:r w:rsidRPr="003B40F6">
        <w:rPr>
          <w:rFonts w:ascii="Arial" w:hAnsi="Arial" w:cs="Arial"/>
          <w:szCs w:val="21"/>
        </w:rPr>
        <w:t xml:space="preserve">how rural communities including individuals, groups and key industries can </w:t>
      </w:r>
      <w:r w:rsidR="00D720DE" w:rsidRPr="003B40F6">
        <w:rPr>
          <w:rFonts w:ascii="Arial" w:hAnsi="Arial" w:cs="Arial"/>
          <w:szCs w:val="21"/>
        </w:rPr>
        <w:t>act as drivers of change</w:t>
      </w:r>
      <w:r w:rsidR="00A64E1F" w:rsidRPr="003B40F6">
        <w:rPr>
          <w:rFonts w:ascii="Arial" w:hAnsi="Arial" w:cs="Arial"/>
          <w:szCs w:val="21"/>
        </w:rPr>
        <w:t xml:space="preserve"> </w:t>
      </w:r>
      <w:r w:rsidR="00D720DE" w:rsidRPr="003B40F6">
        <w:rPr>
          <w:rFonts w:ascii="Arial" w:hAnsi="Arial" w:cs="Arial"/>
          <w:szCs w:val="21"/>
        </w:rPr>
        <w:t xml:space="preserve">in enabling strategic and innovative </w:t>
      </w:r>
      <w:r w:rsidR="00F85DB6" w:rsidRPr="003B40F6">
        <w:rPr>
          <w:rFonts w:ascii="Arial" w:hAnsi="Arial" w:cs="Arial"/>
          <w:szCs w:val="21"/>
        </w:rPr>
        <w:t xml:space="preserve">local </w:t>
      </w:r>
      <w:r w:rsidR="00D720DE" w:rsidRPr="003B40F6">
        <w:rPr>
          <w:rFonts w:ascii="Arial" w:hAnsi="Arial" w:cs="Arial"/>
          <w:szCs w:val="21"/>
        </w:rPr>
        <w:t>responses to</w:t>
      </w:r>
      <w:r w:rsidR="00581C71" w:rsidRPr="003B40F6">
        <w:rPr>
          <w:rFonts w:ascii="Arial" w:hAnsi="Arial" w:cs="Arial"/>
          <w:szCs w:val="21"/>
        </w:rPr>
        <w:t xml:space="preserve"> improving </w:t>
      </w:r>
      <w:r w:rsidR="00A64E1F" w:rsidRPr="003B40F6">
        <w:rPr>
          <w:rFonts w:ascii="Arial" w:hAnsi="Arial" w:cs="Arial"/>
          <w:szCs w:val="21"/>
        </w:rPr>
        <w:t>the ‘availability, accessibility and quality of services as a means to improving health status’ (</w:t>
      </w:r>
      <w:r w:rsidR="00424F12" w:rsidRPr="003B40F6">
        <w:rPr>
          <w:rFonts w:ascii="Arial" w:hAnsi="Arial" w:cs="Arial"/>
          <w:szCs w:val="21"/>
        </w:rPr>
        <w:t>Steen</w:t>
      </w:r>
      <w:r w:rsidR="00386A50">
        <w:rPr>
          <w:rFonts w:ascii="Arial" w:hAnsi="Arial" w:cs="Arial"/>
          <w:szCs w:val="21"/>
        </w:rPr>
        <w:t>,</w:t>
      </w:r>
      <w:r w:rsidR="00424F12" w:rsidRPr="003B40F6">
        <w:rPr>
          <w:rFonts w:ascii="Arial" w:hAnsi="Arial" w:cs="Arial"/>
          <w:szCs w:val="21"/>
        </w:rPr>
        <w:t xml:space="preserve"> 2008: 1</w:t>
      </w:r>
      <w:r w:rsidR="00A64E1F" w:rsidRPr="003B40F6">
        <w:rPr>
          <w:rFonts w:ascii="Arial" w:hAnsi="Arial" w:cs="Arial"/>
          <w:szCs w:val="21"/>
        </w:rPr>
        <w:t>)</w:t>
      </w:r>
      <w:r w:rsidR="00D720DE" w:rsidRPr="003B40F6">
        <w:rPr>
          <w:rFonts w:ascii="Arial" w:hAnsi="Arial" w:cs="Arial"/>
          <w:szCs w:val="21"/>
        </w:rPr>
        <w:t>.</w:t>
      </w:r>
      <w:r w:rsidRPr="003B40F6">
        <w:rPr>
          <w:rFonts w:ascii="Arial" w:hAnsi="Arial" w:cs="Arial"/>
          <w:szCs w:val="21"/>
        </w:rPr>
        <w:t xml:space="preserve"> </w:t>
      </w:r>
      <w:r w:rsidR="00256207" w:rsidRPr="003B40F6">
        <w:rPr>
          <w:rFonts w:ascii="Arial" w:hAnsi="Arial" w:cs="Arial"/>
          <w:szCs w:val="21"/>
        </w:rPr>
        <w:t>F</w:t>
      </w:r>
      <w:r w:rsidR="00D720DE" w:rsidRPr="003B40F6">
        <w:rPr>
          <w:rFonts w:ascii="Arial" w:hAnsi="Arial" w:cs="Arial"/>
          <w:szCs w:val="21"/>
        </w:rPr>
        <w:t xml:space="preserve">ocussed case studies </w:t>
      </w:r>
      <w:r w:rsidR="00512D2A" w:rsidRPr="003B40F6">
        <w:rPr>
          <w:rFonts w:ascii="Arial" w:hAnsi="Arial" w:cs="Arial"/>
          <w:szCs w:val="21"/>
        </w:rPr>
        <w:t xml:space="preserve">of health planning </w:t>
      </w:r>
      <w:r w:rsidR="00D720DE" w:rsidRPr="003B40F6">
        <w:rPr>
          <w:rFonts w:ascii="Arial" w:hAnsi="Arial" w:cs="Arial"/>
          <w:szCs w:val="21"/>
        </w:rPr>
        <w:t xml:space="preserve">by rural </w:t>
      </w:r>
      <w:r w:rsidR="00E90504" w:rsidRPr="003B40F6">
        <w:rPr>
          <w:rFonts w:ascii="Arial" w:hAnsi="Arial" w:cs="Arial"/>
          <w:szCs w:val="21"/>
        </w:rPr>
        <w:t xml:space="preserve">Australian </w:t>
      </w:r>
      <w:r w:rsidR="00D720DE" w:rsidRPr="003B40F6">
        <w:rPr>
          <w:rFonts w:ascii="Arial" w:hAnsi="Arial" w:cs="Arial"/>
          <w:szCs w:val="21"/>
        </w:rPr>
        <w:t xml:space="preserve">communities and </w:t>
      </w:r>
      <w:r w:rsidR="00E90504" w:rsidRPr="003B40F6">
        <w:rPr>
          <w:rFonts w:ascii="Arial" w:hAnsi="Arial" w:cs="Arial"/>
          <w:szCs w:val="21"/>
        </w:rPr>
        <w:t xml:space="preserve">partner organisations </w:t>
      </w:r>
      <w:r w:rsidR="006C6CE5" w:rsidRPr="003B40F6">
        <w:rPr>
          <w:rFonts w:ascii="Arial" w:hAnsi="Arial" w:cs="Arial"/>
          <w:szCs w:val="21"/>
        </w:rPr>
        <w:t>showcase how a strengths</w:t>
      </w:r>
      <w:r w:rsidR="00065453" w:rsidRPr="003B40F6">
        <w:rPr>
          <w:rFonts w:ascii="Arial" w:hAnsi="Arial" w:cs="Arial"/>
          <w:szCs w:val="21"/>
        </w:rPr>
        <w:t>-</w:t>
      </w:r>
      <w:r w:rsidR="006C6CE5" w:rsidRPr="003B40F6">
        <w:rPr>
          <w:rFonts w:ascii="Arial" w:hAnsi="Arial" w:cs="Arial"/>
          <w:szCs w:val="21"/>
        </w:rPr>
        <w:t>based approach to community health can assist in</w:t>
      </w:r>
      <w:r w:rsidR="00F85DB6" w:rsidRPr="003B40F6">
        <w:rPr>
          <w:rFonts w:ascii="Arial" w:hAnsi="Arial" w:cs="Arial"/>
          <w:szCs w:val="21"/>
        </w:rPr>
        <w:t xml:space="preserve"> planning and driving a variety of health and well-being support programs and strategies</w:t>
      </w:r>
      <w:r w:rsidR="006C6CE5" w:rsidRPr="003B40F6">
        <w:rPr>
          <w:rFonts w:ascii="Arial" w:hAnsi="Arial" w:cs="Arial"/>
          <w:szCs w:val="21"/>
        </w:rPr>
        <w:t xml:space="preserve">. </w:t>
      </w:r>
    </w:p>
    <w:p w14:paraId="1E8E3400" w14:textId="77777777" w:rsidR="003B40F6" w:rsidRDefault="003B40F6" w:rsidP="00557AB3">
      <w:pPr>
        <w:spacing w:after="0" w:line="480" w:lineRule="auto"/>
        <w:rPr>
          <w:rFonts w:ascii="Arial" w:hAnsi="Arial" w:cs="Arial"/>
          <w:szCs w:val="21"/>
        </w:rPr>
      </w:pPr>
    </w:p>
    <w:p w14:paraId="35C1FEAB" w14:textId="7C43A48E" w:rsidR="00634144" w:rsidRDefault="006C6CE5" w:rsidP="00557AB3">
      <w:pPr>
        <w:spacing w:after="0" w:line="480" w:lineRule="auto"/>
        <w:rPr>
          <w:rFonts w:ascii="Arial" w:hAnsi="Arial" w:cs="Arial"/>
          <w:szCs w:val="21"/>
        </w:rPr>
      </w:pPr>
      <w:r w:rsidRPr="003B40F6">
        <w:rPr>
          <w:rFonts w:ascii="Arial" w:hAnsi="Arial" w:cs="Arial"/>
          <w:szCs w:val="21"/>
        </w:rPr>
        <w:t>This chapter discusses health planning in the context of Australian rural communities, which di</w:t>
      </w:r>
      <w:r w:rsidR="00B13618" w:rsidRPr="003B40F6">
        <w:rPr>
          <w:rFonts w:ascii="Arial" w:hAnsi="Arial" w:cs="Arial"/>
          <w:szCs w:val="21"/>
        </w:rPr>
        <w:t xml:space="preserve">ffer from </w:t>
      </w:r>
      <w:r w:rsidR="00256207" w:rsidRPr="003B40F6">
        <w:rPr>
          <w:rFonts w:ascii="Arial" w:hAnsi="Arial" w:cs="Arial"/>
          <w:szCs w:val="21"/>
        </w:rPr>
        <w:t xml:space="preserve">those in </w:t>
      </w:r>
      <w:r w:rsidR="00B13618" w:rsidRPr="003B40F6">
        <w:rPr>
          <w:rFonts w:ascii="Arial" w:hAnsi="Arial" w:cs="Arial"/>
          <w:szCs w:val="21"/>
        </w:rPr>
        <w:t>many other countries</w:t>
      </w:r>
      <w:r w:rsidR="00256207" w:rsidRPr="003B40F6">
        <w:rPr>
          <w:rFonts w:ascii="Arial" w:hAnsi="Arial" w:cs="Arial"/>
          <w:szCs w:val="21"/>
        </w:rPr>
        <w:t>,</w:t>
      </w:r>
      <w:r w:rsidR="00B13618" w:rsidRPr="003B40F6">
        <w:rPr>
          <w:rFonts w:ascii="Arial" w:hAnsi="Arial" w:cs="Arial"/>
          <w:szCs w:val="21"/>
        </w:rPr>
        <w:t xml:space="preserve"> and discusses key factors informing how rural health needs can be addressed.</w:t>
      </w:r>
      <w:r w:rsidR="008A7DAA" w:rsidRPr="003B40F6">
        <w:rPr>
          <w:rFonts w:ascii="Arial" w:hAnsi="Arial" w:cs="Arial"/>
          <w:szCs w:val="21"/>
        </w:rPr>
        <w:t xml:space="preserve"> </w:t>
      </w:r>
      <w:r w:rsidR="008E3E03" w:rsidRPr="003B40F6">
        <w:rPr>
          <w:rFonts w:ascii="Arial" w:hAnsi="Arial" w:cs="Arial"/>
          <w:szCs w:val="21"/>
        </w:rPr>
        <w:t>The National Strategic Framework for Rural and Remote Health uses the term ‘rural and remote’ to encompass all areas outside Australia’s major cities (</w:t>
      </w:r>
      <w:r w:rsidR="003C550B" w:rsidRPr="003B40F6">
        <w:rPr>
          <w:rFonts w:ascii="Arial" w:hAnsi="Arial" w:cs="Arial"/>
          <w:szCs w:val="21"/>
        </w:rPr>
        <w:t>Department of Health</w:t>
      </w:r>
      <w:r w:rsidR="00386A50">
        <w:rPr>
          <w:rFonts w:ascii="Arial" w:hAnsi="Arial" w:cs="Arial"/>
          <w:szCs w:val="21"/>
        </w:rPr>
        <w:t>,</w:t>
      </w:r>
      <w:r w:rsidR="003C550B" w:rsidRPr="003B40F6">
        <w:rPr>
          <w:rFonts w:ascii="Arial" w:hAnsi="Arial" w:cs="Arial"/>
          <w:szCs w:val="21"/>
        </w:rPr>
        <w:t xml:space="preserve"> 2011)</w:t>
      </w:r>
      <w:r w:rsidR="008E3E03" w:rsidRPr="003B40F6">
        <w:rPr>
          <w:rFonts w:ascii="Arial" w:hAnsi="Arial" w:cs="Arial"/>
          <w:szCs w:val="21"/>
        </w:rPr>
        <w:t>.</w:t>
      </w:r>
      <w:r w:rsidR="008A7DAA" w:rsidRPr="003B40F6">
        <w:rPr>
          <w:rFonts w:ascii="Arial" w:hAnsi="Arial" w:cs="Arial"/>
          <w:szCs w:val="21"/>
        </w:rPr>
        <w:t xml:space="preserve"> </w:t>
      </w:r>
      <w:r w:rsidR="008F390D" w:rsidRPr="003B40F6">
        <w:rPr>
          <w:rFonts w:ascii="Arial" w:hAnsi="Arial" w:cs="Arial"/>
          <w:szCs w:val="21"/>
        </w:rPr>
        <w:t>The Framework is a response to the ‘unique characteristics, needs, strengths and challenges experienced in rural and remote parts of the country’ (</w:t>
      </w:r>
      <w:r w:rsidR="006D5B74" w:rsidRPr="003B40F6">
        <w:rPr>
          <w:rFonts w:ascii="Arial" w:hAnsi="Arial" w:cs="Arial"/>
          <w:color w:val="000000" w:themeColor="text1"/>
          <w:szCs w:val="21"/>
        </w:rPr>
        <w:t>Australian Health Ministers’ Advisory Council Rural Health Standing Committee</w:t>
      </w:r>
      <w:r w:rsidR="00386A50">
        <w:rPr>
          <w:rFonts w:ascii="Arial" w:hAnsi="Arial" w:cs="Arial"/>
          <w:color w:val="000000" w:themeColor="text1"/>
          <w:szCs w:val="21"/>
        </w:rPr>
        <w:t>,</w:t>
      </w:r>
      <w:r w:rsidR="006D5B74" w:rsidRPr="003B40F6">
        <w:rPr>
          <w:rFonts w:ascii="Arial" w:hAnsi="Arial" w:cs="Arial"/>
          <w:color w:val="000000" w:themeColor="text1"/>
          <w:szCs w:val="21"/>
        </w:rPr>
        <w:t xml:space="preserve"> </w:t>
      </w:r>
      <w:r w:rsidR="008F390D" w:rsidRPr="003B40F6">
        <w:rPr>
          <w:rFonts w:ascii="Arial" w:hAnsi="Arial" w:cs="Arial"/>
          <w:szCs w:val="21"/>
        </w:rPr>
        <w:t>2011: 6).</w:t>
      </w:r>
    </w:p>
    <w:p w14:paraId="506DB6CC" w14:textId="77777777" w:rsidR="003B40F6" w:rsidRPr="003B40F6" w:rsidRDefault="003B40F6" w:rsidP="00557AB3">
      <w:pPr>
        <w:spacing w:after="0" w:line="480" w:lineRule="auto"/>
        <w:rPr>
          <w:rFonts w:ascii="Arial" w:hAnsi="Arial" w:cs="Arial"/>
          <w:szCs w:val="21"/>
        </w:rPr>
      </w:pPr>
    </w:p>
    <w:p w14:paraId="6E53BE89" w14:textId="77777777" w:rsidR="001861FF" w:rsidRDefault="001861FF" w:rsidP="00557AB3">
      <w:pPr>
        <w:pStyle w:val="Heading1"/>
        <w:spacing w:after="0" w:line="480" w:lineRule="auto"/>
      </w:pPr>
      <w:r w:rsidRPr="00127DDD">
        <w:t>Background</w:t>
      </w:r>
    </w:p>
    <w:p w14:paraId="1DC17480" w14:textId="679B45AF" w:rsidR="00BB10FB" w:rsidRDefault="006C6CE5" w:rsidP="00557AB3">
      <w:pPr>
        <w:spacing w:after="0" w:line="480" w:lineRule="auto"/>
        <w:rPr>
          <w:color w:val="000000" w:themeColor="text1"/>
        </w:rPr>
      </w:pPr>
      <w:r w:rsidRPr="006C6CE5">
        <w:t>Rural areas in Australia and around the world have long been known to have poorer health outcomes than m</w:t>
      </w:r>
      <w:r w:rsidR="00256207">
        <w:t>etropolitan areas (Beard et al.</w:t>
      </w:r>
      <w:r w:rsidR="00386A50">
        <w:t>,</w:t>
      </w:r>
      <w:r w:rsidRPr="006C6CE5">
        <w:t xml:space="preserve"> 2009). Australians living in rural and remote areas tend to die younger, suffer higher levels of injury and disease, and have poorer access to health services (Australian </w:t>
      </w:r>
      <w:r w:rsidR="00256207">
        <w:t>Institute of Health and Welfare</w:t>
      </w:r>
      <w:r w:rsidR="00386A50">
        <w:t>,</w:t>
      </w:r>
      <w:r w:rsidRPr="006C6CE5">
        <w:t xml:space="preserve"> 2017).</w:t>
      </w:r>
      <w:r w:rsidRPr="00ED42CD">
        <w:rPr>
          <w:color w:val="000000" w:themeColor="text1"/>
        </w:rPr>
        <w:t xml:space="preserve"> </w:t>
      </w:r>
    </w:p>
    <w:p w14:paraId="59B473F5" w14:textId="77777777" w:rsidR="003B40F6" w:rsidRDefault="003B40F6" w:rsidP="00557AB3">
      <w:pPr>
        <w:spacing w:after="0" w:line="480" w:lineRule="auto"/>
        <w:rPr>
          <w:color w:val="000000" w:themeColor="text1"/>
        </w:rPr>
      </w:pPr>
    </w:p>
    <w:p w14:paraId="151F6039" w14:textId="24DF0942" w:rsidR="003B40F6" w:rsidRDefault="00D02A9C" w:rsidP="00557AB3">
      <w:pPr>
        <w:spacing w:after="0" w:line="480" w:lineRule="auto"/>
        <w:rPr>
          <w:rFonts w:asciiTheme="minorHAnsi" w:hAnsiTheme="minorHAnsi" w:cstheme="minorHAnsi"/>
        </w:rPr>
      </w:pPr>
      <w:r>
        <w:lastRenderedPageBreak/>
        <w:t>An understanding of ‘what is health’ is useful before discussing ru</w:t>
      </w:r>
      <w:r w:rsidR="00256207">
        <w:t>r</w:t>
      </w:r>
      <w:r>
        <w:t xml:space="preserve">al health planning. </w:t>
      </w:r>
      <w:r w:rsidR="00871746">
        <w:t>Society’s understanding of what constitutes good health ha</w:t>
      </w:r>
      <w:r w:rsidR="00DC654B">
        <w:t xml:space="preserve">s evolved over recent decades. </w:t>
      </w:r>
      <w:r w:rsidR="00871746">
        <w:t>In 194</w:t>
      </w:r>
      <w:r w:rsidR="00256207">
        <w:t>8 the World Health Organisation</w:t>
      </w:r>
      <w:r w:rsidR="00871746" w:rsidRPr="00D02A9C">
        <w:t xml:space="preserve"> </w:t>
      </w:r>
      <w:r w:rsidR="00256207">
        <w:t>defined h</w:t>
      </w:r>
      <w:r w:rsidR="00871746">
        <w:t xml:space="preserve">ealth as a </w:t>
      </w:r>
      <w:r w:rsidR="00386A50">
        <w:t>‘</w:t>
      </w:r>
      <w:r w:rsidR="00871746" w:rsidRPr="00A84F6E">
        <w:t xml:space="preserve">state of complete physical, mental and social well-being and not merely the </w:t>
      </w:r>
      <w:r w:rsidR="00386A50">
        <w:t>absence of disease or infirmity’</w:t>
      </w:r>
      <w:r w:rsidR="00871746" w:rsidRPr="00A84F6E">
        <w:t xml:space="preserve"> </w:t>
      </w:r>
      <w:r w:rsidRPr="00A84F6E">
        <w:t>(</w:t>
      </w:r>
      <w:r w:rsidR="00256207">
        <w:t>World Health Organisation</w:t>
      </w:r>
      <w:r w:rsidR="00871746" w:rsidRPr="00A84F6E">
        <w:t xml:space="preserve"> 1948</w:t>
      </w:r>
      <w:r w:rsidRPr="00A84F6E">
        <w:t>)</w:t>
      </w:r>
      <w:r w:rsidR="00871746" w:rsidRPr="00A84F6E">
        <w:t>.</w:t>
      </w:r>
      <w:r w:rsidR="00871746">
        <w:rPr>
          <w:rFonts w:ascii="Times New Roman" w:eastAsia="Times New Roman" w:hAnsi="Times New Roman" w:cs="Times New Roman"/>
          <w:sz w:val="24"/>
          <w:szCs w:val="24"/>
          <w:lang w:eastAsia="en-AU"/>
        </w:rPr>
        <w:t xml:space="preserve">  </w:t>
      </w:r>
      <w:r>
        <w:t>In recent years the perceptions of what health</w:t>
      </w:r>
      <w:r w:rsidR="00593256">
        <w:t xml:space="preserve"> is</w:t>
      </w:r>
      <w:r>
        <w:t xml:space="preserve"> have evolved beyond viewing health as a fixed state, to health </w:t>
      </w:r>
      <w:r w:rsidR="00DC654B">
        <w:t>and well</w:t>
      </w:r>
      <w:r w:rsidR="00DA7935">
        <w:t>-</w:t>
      </w:r>
      <w:r w:rsidR="00DC654B">
        <w:t xml:space="preserve">being </w:t>
      </w:r>
      <w:r>
        <w:t>as</w:t>
      </w:r>
      <w:r w:rsidR="00897954">
        <w:t xml:space="preserve"> influenced by systems and resources that</w:t>
      </w:r>
      <w:r>
        <w:t xml:space="preserve"> </w:t>
      </w:r>
      <w:r w:rsidRPr="00D02A9C">
        <w:t>support an individual’s capacity to function in wider society including an ability to adapt to</w:t>
      </w:r>
      <w:r w:rsidR="00897954">
        <w:t xml:space="preserve"> change</w:t>
      </w:r>
      <w:r w:rsidR="00256207">
        <w:t xml:space="preserve"> (</w:t>
      </w:r>
      <w:proofErr w:type="spellStart"/>
      <w:r w:rsidR="00256207">
        <w:t>Giacaman</w:t>
      </w:r>
      <w:proofErr w:type="spellEnd"/>
      <w:r w:rsidRPr="00D02A9C">
        <w:t xml:space="preserve"> et al</w:t>
      </w:r>
      <w:r w:rsidR="00256207">
        <w:t>.</w:t>
      </w:r>
      <w:r w:rsidR="00386A50">
        <w:t>,</w:t>
      </w:r>
      <w:r w:rsidRPr="00D02A9C">
        <w:t xml:space="preserve"> 2009).</w:t>
      </w:r>
      <w:r w:rsidR="00941E7A">
        <w:rPr>
          <w:rFonts w:asciiTheme="minorHAnsi" w:hAnsiTheme="minorHAnsi" w:cstheme="minorHAnsi"/>
        </w:rPr>
        <w:t xml:space="preserve"> </w:t>
      </w:r>
      <w:r w:rsidR="00941E7A" w:rsidRPr="00810C7E">
        <w:t>Additionally, key WHO directives such as the Ottawa Charter on Health Promotion (1986) have stressed the importance of communities having the opportunity and ability to actively participate in planning for community health and well</w:t>
      </w:r>
      <w:r w:rsidR="00DA7935">
        <w:t>-</w:t>
      </w:r>
      <w:r w:rsidR="00941E7A" w:rsidRPr="00810C7E">
        <w:t>being which has led to increasing capacity building and engagement of communities around rural health planning (Kilpatrick</w:t>
      </w:r>
      <w:r w:rsidR="00386A50">
        <w:t>,</w:t>
      </w:r>
      <w:r w:rsidR="00941E7A" w:rsidRPr="00810C7E">
        <w:t xml:space="preserve"> 2009; </w:t>
      </w:r>
      <w:proofErr w:type="spellStart"/>
      <w:r w:rsidR="00941E7A" w:rsidRPr="00810C7E">
        <w:t>Hawe</w:t>
      </w:r>
      <w:proofErr w:type="spellEnd"/>
      <w:r w:rsidR="00661631">
        <w:t xml:space="preserve"> et al.</w:t>
      </w:r>
      <w:r w:rsidR="00386A50">
        <w:t>,</w:t>
      </w:r>
      <w:r w:rsidR="00941E7A" w:rsidRPr="00810C7E">
        <w:t xml:space="preserve"> 1997).</w:t>
      </w:r>
      <w:r w:rsidRPr="006575EC">
        <w:rPr>
          <w:rFonts w:asciiTheme="minorHAnsi" w:hAnsiTheme="minorHAnsi" w:cstheme="minorHAnsi"/>
        </w:rPr>
        <w:t xml:space="preserve"> </w:t>
      </w:r>
    </w:p>
    <w:p w14:paraId="7AF186AE" w14:textId="77777777" w:rsidR="003B40F6" w:rsidRDefault="003B40F6" w:rsidP="00557AB3">
      <w:pPr>
        <w:spacing w:after="0" w:line="480" w:lineRule="auto"/>
        <w:rPr>
          <w:rFonts w:asciiTheme="minorHAnsi" w:hAnsiTheme="minorHAnsi" w:cstheme="minorHAnsi"/>
        </w:rPr>
      </w:pPr>
    </w:p>
    <w:p w14:paraId="6CE3176C" w14:textId="305FF399" w:rsidR="00811514" w:rsidRDefault="00C30E58" w:rsidP="00557AB3">
      <w:pPr>
        <w:spacing w:after="0" w:line="480" w:lineRule="auto"/>
        <w:rPr>
          <w:color w:val="000000" w:themeColor="text1"/>
        </w:rPr>
      </w:pPr>
      <w:r w:rsidRPr="00ED42CD">
        <w:rPr>
          <w:color w:val="000000" w:themeColor="text1"/>
        </w:rPr>
        <w:t xml:space="preserve">Conceptualising rural health requires an understanding of how the rural setting influences </w:t>
      </w:r>
      <w:r w:rsidR="00034498" w:rsidRPr="00ED42CD">
        <w:rPr>
          <w:color w:val="000000" w:themeColor="text1"/>
        </w:rPr>
        <w:t xml:space="preserve">an </w:t>
      </w:r>
      <w:r w:rsidR="00811514" w:rsidRPr="00ED42CD">
        <w:rPr>
          <w:color w:val="000000" w:themeColor="text1"/>
        </w:rPr>
        <w:t>individual’s</w:t>
      </w:r>
      <w:r w:rsidRPr="00ED42CD">
        <w:rPr>
          <w:color w:val="000000" w:themeColor="text1"/>
        </w:rPr>
        <w:t xml:space="preserve"> health outcomes.</w:t>
      </w:r>
      <w:r w:rsidR="00DC654B">
        <w:t xml:space="preserve"> </w:t>
      </w:r>
      <w:r w:rsidR="00BB10FB" w:rsidRPr="00BB10FB">
        <w:rPr>
          <w:color w:val="000000" w:themeColor="text1"/>
        </w:rPr>
        <w:t xml:space="preserve">The value of community to health and </w:t>
      </w:r>
      <w:proofErr w:type="gramStart"/>
      <w:r w:rsidR="00BB10FB" w:rsidRPr="00BB10FB">
        <w:rPr>
          <w:color w:val="000000" w:themeColor="text1"/>
        </w:rPr>
        <w:t>well</w:t>
      </w:r>
      <w:r w:rsidR="003F45A9">
        <w:rPr>
          <w:color w:val="000000" w:themeColor="text1"/>
        </w:rPr>
        <w:t>-</w:t>
      </w:r>
      <w:r w:rsidR="00BB10FB" w:rsidRPr="00BB10FB">
        <w:rPr>
          <w:color w:val="000000" w:themeColor="text1"/>
        </w:rPr>
        <w:t>being</w:t>
      </w:r>
      <w:proofErr w:type="gramEnd"/>
      <w:r w:rsidR="00BB10FB" w:rsidRPr="00BB10FB">
        <w:rPr>
          <w:color w:val="000000" w:themeColor="text1"/>
        </w:rPr>
        <w:t xml:space="preserve"> in rural areas, whilst difficult to quantify, cannot be underestimated, particularly in communities with high levels of connectivity and social cohesion.</w:t>
      </w:r>
      <w:r w:rsidR="00BB10FB">
        <w:rPr>
          <w:color w:val="000000" w:themeColor="text1"/>
        </w:rPr>
        <w:t xml:space="preserve"> It </w:t>
      </w:r>
      <w:r w:rsidR="0048285D">
        <w:rPr>
          <w:color w:val="000000" w:themeColor="text1"/>
        </w:rPr>
        <w:t>is widely recognised that there</w:t>
      </w:r>
      <w:r w:rsidR="00BB10FB">
        <w:rPr>
          <w:color w:val="000000" w:themeColor="text1"/>
        </w:rPr>
        <w:t xml:space="preserve"> are a number of social </w:t>
      </w:r>
      <w:r w:rsidR="00BB10FB" w:rsidRPr="008545B7">
        <w:t>determinants of health</w:t>
      </w:r>
      <w:r w:rsidR="00A84F6E" w:rsidRPr="008545B7">
        <w:t>, including socioeconomic status, race and ethnicity, gender, sociocultural and psychosocial factors (</w:t>
      </w:r>
      <w:r w:rsidR="00256207" w:rsidRPr="008545B7">
        <w:t xml:space="preserve">Dixon </w:t>
      </w:r>
      <w:r w:rsidR="00660266">
        <w:t>and</w:t>
      </w:r>
      <w:r w:rsidR="00256207" w:rsidRPr="008545B7">
        <w:t xml:space="preserve"> Welch</w:t>
      </w:r>
      <w:r w:rsidR="00386A50">
        <w:t>,</w:t>
      </w:r>
      <w:r w:rsidR="00A84F6E" w:rsidRPr="008545B7">
        <w:t xml:space="preserve"> 2000). </w:t>
      </w:r>
      <w:r w:rsidR="006C6CE5" w:rsidRPr="008545B7">
        <w:t>Individual</w:t>
      </w:r>
      <w:r w:rsidR="006C6CE5" w:rsidRPr="006C6CE5">
        <w:t xml:space="preserve"> and neighbourhood socioeconomic disadvantage, sociocultural factors, and physical and other environmental factors interact to produce health outcomes, for example low population density, often high proportions of Indigenous populations and geographic isolation, are related to </w:t>
      </w:r>
      <w:r w:rsidR="00A64E1F">
        <w:t xml:space="preserve">limited </w:t>
      </w:r>
      <w:r w:rsidR="006C6CE5" w:rsidRPr="006C6CE5">
        <w:t>health services and lim</w:t>
      </w:r>
      <w:r w:rsidR="00A64E1F">
        <w:t>ited availability of fresh</w:t>
      </w:r>
      <w:r w:rsidR="00791D0B">
        <w:t xml:space="preserve"> and healthy </w:t>
      </w:r>
      <w:r w:rsidR="00A64E1F">
        <w:t>food</w:t>
      </w:r>
      <w:r w:rsidR="00791D0B">
        <w:t xml:space="preserve"> choices</w:t>
      </w:r>
      <w:r w:rsidR="00A64E1F">
        <w:t>. On the other hand</w:t>
      </w:r>
      <w:r w:rsidR="004C74F1">
        <w:t>,</w:t>
      </w:r>
      <w:r w:rsidR="006C6CE5" w:rsidRPr="006C6CE5">
        <w:t xml:space="preserve"> fresh air and natural environmental amenity and close knit communities</w:t>
      </w:r>
      <w:r w:rsidR="00FE3DFA">
        <w:t xml:space="preserve"> </w:t>
      </w:r>
      <w:r w:rsidR="006C6CE5" w:rsidRPr="006C6CE5">
        <w:t>can promote well</w:t>
      </w:r>
      <w:r w:rsidR="003F45A9">
        <w:t>-</w:t>
      </w:r>
      <w:r w:rsidR="006C6CE5" w:rsidRPr="006C6CE5">
        <w:t>being; while limited education and outmigration of young people reduce community inco</w:t>
      </w:r>
      <w:r w:rsidR="00256207">
        <w:t>me and resilience (Beard et al.</w:t>
      </w:r>
      <w:r w:rsidR="00386A50">
        <w:t>,</w:t>
      </w:r>
      <w:r w:rsidR="006C6CE5" w:rsidRPr="006C6CE5">
        <w:t xml:space="preserve"> 2009).</w:t>
      </w:r>
      <w:r w:rsidR="00304774">
        <w:t xml:space="preserve"> </w:t>
      </w:r>
      <w:r w:rsidR="00811514" w:rsidRPr="00ED42CD">
        <w:rPr>
          <w:color w:val="000000" w:themeColor="text1"/>
        </w:rPr>
        <w:t>Outmigration, in particular, can be seen to have two major negative effects on health</w:t>
      </w:r>
      <w:r w:rsidR="00593256">
        <w:rPr>
          <w:color w:val="000000" w:themeColor="text1"/>
        </w:rPr>
        <w:t>:</w:t>
      </w:r>
      <w:r w:rsidR="00811514" w:rsidRPr="00ED42CD">
        <w:rPr>
          <w:color w:val="000000" w:themeColor="text1"/>
        </w:rPr>
        <w:t xml:space="preserve"> a reduction in health status as the remaining population is proportionally </w:t>
      </w:r>
      <w:r w:rsidR="00ED42CD" w:rsidRPr="00ED42CD">
        <w:rPr>
          <w:color w:val="000000" w:themeColor="text1"/>
        </w:rPr>
        <w:t>older</w:t>
      </w:r>
      <w:r w:rsidR="00593256">
        <w:rPr>
          <w:color w:val="000000" w:themeColor="text1"/>
        </w:rPr>
        <w:t>,</w:t>
      </w:r>
      <w:r w:rsidR="00811514" w:rsidRPr="00ED42CD">
        <w:rPr>
          <w:color w:val="000000" w:themeColor="text1"/>
        </w:rPr>
        <w:t xml:space="preserve"> and a reduction in health services as populations fall below the critical mass deemed as n</w:t>
      </w:r>
      <w:r w:rsidR="00FE7C79">
        <w:rPr>
          <w:color w:val="000000" w:themeColor="text1"/>
        </w:rPr>
        <w:t>eeded to support them (</w:t>
      </w:r>
      <w:proofErr w:type="spellStart"/>
      <w:r w:rsidR="00FE7C79">
        <w:rPr>
          <w:color w:val="000000" w:themeColor="text1"/>
        </w:rPr>
        <w:t>Rickards</w:t>
      </w:r>
      <w:proofErr w:type="spellEnd"/>
      <w:r w:rsidR="00386A50">
        <w:rPr>
          <w:color w:val="000000" w:themeColor="text1"/>
        </w:rPr>
        <w:t>,</w:t>
      </w:r>
      <w:r w:rsidR="00811514" w:rsidRPr="00ED42CD">
        <w:rPr>
          <w:color w:val="000000" w:themeColor="text1"/>
        </w:rPr>
        <w:t xml:space="preserve"> 2011)</w:t>
      </w:r>
      <w:r w:rsidR="00CB6E76" w:rsidRPr="00ED42CD">
        <w:rPr>
          <w:color w:val="000000" w:themeColor="text1"/>
        </w:rPr>
        <w:t>.</w:t>
      </w:r>
      <w:r w:rsidR="00811514" w:rsidRPr="00ED42CD">
        <w:rPr>
          <w:color w:val="000000" w:themeColor="text1"/>
        </w:rPr>
        <w:t xml:space="preserve">  </w:t>
      </w:r>
    </w:p>
    <w:p w14:paraId="7AD175BC" w14:textId="77777777" w:rsidR="003B40F6" w:rsidRPr="003B40F6" w:rsidRDefault="003B40F6" w:rsidP="00557AB3">
      <w:pPr>
        <w:spacing w:after="0" w:line="480" w:lineRule="auto"/>
        <w:rPr>
          <w:rFonts w:asciiTheme="minorHAnsi" w:hAnsiTheme="minorHAnsi" w:cstheme="minorHAnsi"/>
        </w:rPr>
      </w:pPr>
    </w:p>
    <w:p w14:paraId="2A454826" w14:textId="11C948A0" w:rsidR="00035F36" w:rsidRDefault="006C6CE5" w:rsidP="00557AB3">
      <w:pPr>
        <w:spacing w:after="0" w:line="480" w:lineRule="auto"/>
      </w:pPr>
      <w:r w:rsidRPr="006C6CE5">
        <w:t xml:space="preserve">Pressures on current health care services in Australia </w:t>
      </w:r>
      <w:r w:rsidR="00A64E1F">
        <w:t xml:space="preserve">have </w:t>
      </w:r>
      <w:r w:rsidRPr="006C6CE5">
        <w:t>increase</w:t>
      </w:r>
      <w:r w:rsidR="00A64E1F">
        <w:t>d</w:t>
      </w:r>
      <w:r w:rsidRPr="006C6CE5">
        <w:t xml:space="preserve"> </w:t>
      </w:r>
      <w:r w:rsidR="00A64E1F">
        <w:t xml:space="preserve">the demands on policy makers to </w:t>
      </w:r>
      <w:r w:rsidR="007F024A">
        <w:t xml:space="preserve">implement effective </w:t>
      </w:r>
      <w:r w:rsidR="00A64E1F">
        <w:t xml:space="preserve">health planning. </w:t>
      </w:r>
      <w:r w:rsidR="007F024A">
        <w:t xml:space="preserve">However, planning is often underpinned by the </w:t>
      </w:r>
      <w:r w:rsidR="00C80F69">
        <w:t>a</w:t>
      </w:r>
      <w:r w:rsidR="00C80F69" w:rsidRPr="00C80F69">
        <w:t xml:space="preserve">doption of </w:t>
      </w:r>
      <w:r w:rsidR="007F024A">
        <w:t xml:space="preserve">both </w:t>
      </w:r>
      <w:r w:rsidR="00C80F69" w:rsidRPr="00C80F69">
        <w:t>biomedical approaches</w:t>
      </w:r>
      <w:r w:rsidR="00C80F69">
        <w:t xml:space="preserve"> </w:t>
      </w:r>
      <w:r w:rsidR="007F024A">
        <w:t xml:space="preserve">and </w:t>
      </w:r>
      <w:r w:rsidR="00C80F69">
        <w:t>economic rationalist models of health care provision</w:t>
      </w:r>
      <w:r w:rsidR="00C80F69" w:rsidRPr="00C80F69">
        <w:t xml:space="preserve"> </w:t>
      </w:r>
      <w:r w:rsidR="007F024A">
        <w:t xml:space="preserve">which have </w:t>
      </w:r>
      <w:r w:rsidR="00C80F69" w:rsidRPr="00C80F69">
        <w:t>embedded a deficit way of thinking (Bourke et al</w:t>
      </w:r>
      <w:r w:rsidR="00FA6EBC">
        <w:t>.</w:t>
      </w:r>
      <w:r w:rsidR="00AC270B">
        <w:t>,</w:t>
      </w:r>
      <w:r w:rsidR="00C80F69" w:rsidRPr="00C80F69">
        <w:t xml:space="preserve"> 2010</w:t>
      </w:r>
      <w:r w:rsidR="00A64E1F">
        <w:t xml:space="preserve">). </w:t>
      </w:r>
      <w:r w:rsidR="00D56CD7">
        <w:t>Such models</w:t>
      </w:r>
      <w:r w:rsidR="00A64E1F">
        <w:t xml:space="preserve"> </w:t>
      </w:r>
      <w:r w:rsidR="00C80F69" w:rsidRPr="00C80F69">
        <w:t>focus</w:t>
      </w:r>
      <w:r w:rsidR="0042647B">
        <w:t xml:space="preserve"> on </w:t>
      </w:r>
      <w:proofErr w:type="gramStart"/>
      <w:r w:rsidR="0042647B">
        <w:t xml:space="preserve">problems that need ‘fixing’ from an </w:t>
      </w:r>
      <w:r w:rsidR="007F024A">
        <w:t>individual health perspective or considers</w:t>
      </w:r>
      <w:proofErr w:type="gramEnd"/>
      <w:r w:rsidR="007F024A">
        <w:t xml:space="preserve"> services from an </w:t>
      </w:r>
      <w:r w:rsidR="0042647B">
        <w:t>economic rationalist perspective</w:t>
      </w:r>
      <w:r w:rsidR="007F024A">
        <w:t xml:space="preserve"> where community members are seen as consumers not citizens</w:t>
      </w:r>
      <w:r w:rsidR="00035F36">
        <w:t>. Often a deficit model of rurality is used to justify an economic rationalist approach to rural health policy and planning, most often to the exclusion of rural communities themselves.</w:t>
      </w:r>
    </w:p>
    <w:p w14:paraId="509EB78A" w14:textId="77777777" w:rsidR="003B40F6" w:rsidRDefault="003B40F6" w:rsidP="00557AB3">
      <w:pPr>
        <w:spacing w:after="0" w:line="480" w:lineRule="auto"/>
      </w:pPr>
    </w:p>
    <w:p w14:paraId="5F066E69" w14:textId="77777777" w:rsidR="00C80F69" w:rsidRDefault="0027285D" w:rsidP="00557AB3">
      <w:pPr>
        <w:spacing w:after="0" w:line="480" w:lineRule="auto"/>
      </w:pPr>
      <w:r>
        <w:t>This contributes</w:t>
      </w:r>
      <w:r w:rsidRPr="00C80F69">
        <w:t xml:space="preserve"> to the stereotyping of rural </w:t>
      </w:r>
      <w:r>
        <w:t xml:space="preserve">areas </w:t>
      </w:r>
      <w:r w:rsidRPr="00C80F69">
        <w:t xml:space="preserve">as problematic environments in which to </w:t>
      </w:r>
      <w:r>
        <w:t xml:space="preserve">live, work and </w:t>
      </w:r>
      <w:r w:rsidR="00FA6EBC">
        <w:t>for which to plan</w:t>
      </w:r>
      <w:r>
        <w:t xml:space="preserve"> and deliver health services</w:t>
      </w:r>
      <w:r w:rsidR="00853555">
        <w:t>, and tends to downplay provision of preventative health and well-being programs and services</w:t>
      </w:r>
      <w:r>
        <w:t xml:space="preserve">. </w:t>
      </w:r>
      <w:r w:rsidR="00FA6EBC">
        <w:t>Furthermore, the outcome of biomedical and economic rationalist approaches is a</w:t>
      </w:r>
      <w:r w:rsidR="007F024A">
        <w:t xml:space="preserve"> tend</w:t>
      </w:r>
      <w:r w:rsidR="00FA6EBC">
        <w:t>ency</w:t>
      </w:r>
      <w:r w:rsidR="007F024A">
        <w:t xml:space="preserve"> to see all rural areas as the same, </w:t>
      </w:r>
      <w:r>
        <w:t xml:space="preserve">and </w:t>
      </w:r>
      <w:r w:rsidR="00D5409C">
        <w:t xml:space="preserve">to disregard </w:t>
      </w:r>
      <w:r w:rsidR="003A461D">
        <w:t xml:space="preserve">the local </w:t>
      </w:r>
      <w:r w:rsidR="00C80F69">
        <w:t>contexts</w:t>
      </w:r>
      <w:r w:rsidR="003A461D">
        <w:t xml:space="preserve"> and environments of rural </w:t>
      </w:r>
      <w:proofErr w:type="gramStart"/>
      <w:r w:rsidR="003A461D">
        <w:t>settings</w:t>
      </w:r>
      <w:r w:rsidR="007F024A">
        <w:t xml:space="preserve"> which can impact significantly on</w:t>
      </w:r>
      <w:r w:rsidR="00C80F69">
        <w:t xml:space="preserve"> </w:t>
      </w:r>
      <w:r w:rsidR="003A461D">
        <w:t>health determinants</w:t>
      </w:r>
      <w:proofErr w:type="gramEnd"/>
      <w:r w:rsidR="003A461D">
        <w:t xml:space="preserve"> and the effectiveness of </w:t>
      </w:r>
      <w:r w:rsidR="00BD7928">
        <w:t>programs</w:t>
      </w:r>
      <w:r w:rsidR="00BD7928" w:rsidRPr="00BD7928">
        <w:t>.</w:t>
      </w:r>
    </w:p>
    <w:p w14:paraId="73F407EA" w14:textId="77777777" w:rsidR="003B40F6" w:rsidRDefault="003B40F6" w:rsidP="00557AB3">
      <w:pPr>
        <w:spacing w:after="0" w:line="480" w:lineRule="auto"/>
      </w:pPr>
    </w:p>
    <w:p w14:paraId="14C6ACCE" w14:textId="0B228C04" w:rsidR="00080CEE" w:rsidRDefault="0027285D" w:rsidP="00557AB3">
      <w:pPr>
        <w:spacing w:after="0" w:line="480" w:lineRule="auto"/>
      </w:pPr>
      <w:r>
        <w:t>F</w:t>
      </w:r>
      <w:r w:rsidR="00C80F69" w:rsidRPr="00C80F69">
        <w:t xml:space="preserve">ocusing on </w:t>
      </w:r>
      <w:r>
        <w:t>key strengths i</w:t>
      </w:r>
      <w:r w:rsidR="00C80F69" w:rsidRPr="00C80F69">
        <w:t>s a</w:t>
      </w:r>
      <w:r>
        <w:t>n alternative</w:t>
      </w:r>
      <w:r w:rsidR="00C80F69" w:rsidRPr="00C80F69">
        <w:t xml:space="preserve"> way to move rural</w:t>
      </w:r>
      <w:r>
        <w:t xml:space="preserve"> planning in a time of change</w:t>
      </w:r>
      <w:r w:rsidR="00C80F69" w:rsidRPr="00C80F69">
        <w:t xml:space="preserve"> from ‘problem-describing’ to ‘problem-solving’</w:t>
      </w:r>
      <w:r w:rsidR="003B2964">
        <w:t xml:space="preserve"> paradigms</w:t>
      </w:r>
      <w:r w:rsidR="00C80F69" w:rsidRPr="00C80F69">
        <w:t>.</w:t>
      </w:r>
      <w:r w:rsidR="0042647B">
        <w:t xml:space="preserve"> </w:t>
      </w:r>
      <w:r w:rsidR="00046C32" w:rsidRPr="00D25769">
        <w:rPr>
          <w:color w:val="000000" w:themeColor="text1"/>
        </w:rPr>
        <w:t>Such an approach starts from a position of local knowledge and values and engages the community in shaping goals and pathways (</w:t>
      </w:r>
      <w:proofErr w:type="spellStart"/>
      <w:r w:rsidR="00046C32" w:rsidRPr="00B64261">
        <w:rPr>
          <w:color w:val="000000" w:themeColor="text1"/>
        </w:rPr>
        <w:t>Rickards</w:t>
      </w:r>
      <w:proofErr w:type="spellEnd"/>
      <w:r w:rsidR="00F23478">
        <w:rPr>
          <w:color w:val="000000" w:themeColor="text1"/>
        </w:rPr>
        <w:t>,</w:t>
      </w:r>
      <w:r w:rsidR="00046C32" w:rsidRPr="00B64261">
        <w:rPr>
          <w:color w:val="000000" w:themeColor="text1"/>
        </w:rPr>
        <w:t xml:space="preserve"> 2011).</w:t>
      </w:r>
      <w:r w:rsidR="00046C32" w:rsidRPr="00D25769">
        <w:rPr>
          <w:color w:val="000000" w:themeColor="text1"/>
        </w:rPr>
        <w:t xml:space="preserve"> </w:t>
      </w:r>
      <w:r w:rsidR="00080CEE" w:rsidRPr="009E066F">
        <w:t>Many traditional app</w:t>
      </w:r>
      <w:r w:rsidR="00080CEE">
        <w:t>roaches to community health planning</w:t>
      </w:r>
      <w:r w:rsidR="00080CEE" w:rsidRPr="009E066F">
        <w:t xml:space="preserve"> start with a needs analysis or some other way of focusing on the community’s needs (</w:t>
      </w:r>
      <w:proofErr w:type="spellStart"/>
      <w:r w:rsidR="00080CEE" w:rsidRPr="009E066F">
        <w:t>Kretzmann</w:t>
      </w:r>
      <w:proofErr w:type="spellEnd"/>
      <w:r w:rsidR="00080CEE" w:rsidRPr="009E066F">
        <w:t xml:space="preserve"> </w:t>
      </w:r>
      <w:r w:rsidR="00080CEE">
        <w:t>and</w:t>
      </w:r>
      <w:r w:rsidR="00080CEE" w:rsidRPr="009E066F">
        <w:t xml:space="preserve"> McKnight, 1993; </w:t>
      </w:r>
      <w:proofErr w:type="spellStart"/>
      <w:r w:rsidR="00080CEE" w:rsidRPr="009E066F">
        <w:t>Mathie</w:t>
      </w:r>
      <w:proofErr w:type="spellEnd"/>
      <w:r w:rsidR="00080CEE" w:rsidRPr="009E066F">
        <w:t xml:space="preserve"> </w:t>
      </w:r>
      <w:r w:rsidR="00080CEE">
        <w:t>and</w:t>
      </w:r>
      <w:r w:rsidR="00080CEE" w:rsidRPr="009E066F">
        <w:t xml:space="preserve"> Cunningham, 2003).</w:t>
      </w:r>
      <w:r w:rsidR="00080CEE" w:rsidRPr="00080CEE">
        <w:t xml:space="preserve"> </w:t>
      </w:r>
    </w:p>
    <w:p w14:paraId="73E09397" w14:textId="77777777" w:rsidR="003B40F6" w:rsidRDefault="003B40F6" w:rsidP="00557AB3">
      <w:pPr>
        <w:spacing w:after="0" w:line="480" w:lineRule="auto"/>
      </w:pPr>
    </w:p>
    <w:p w14:paraId="448EADD8" w14:textId="21785B4A" w:rsidR="003B2964" w:rsidRDefault="00080CEE" w:rsidP="00557AB3">
      <w:pPr>
        <w:spacing w:after="0" w:line="480" w:lineRule="auto"/>
      </w:pPr>
      <w:r>
        <w:t>A</w:t>
      </w:r>
      <w:r w:rsidR="003B2964" w:rsidRPr="000E1B6F">
        <w:t xml:space="preserve"> strength</w:t>
      </w:r>
      <w:r w:rsidR="00B5144F">
        <w:t>s</w:t>
      </w:r>
      <w:r w:rsidR="003B2964" w:rsidRPr="000E1B6F">
        <w:t xml:space="preserve">-based approach tends to build relationships between </w:t>
      </w:r>
      <w:proofErr w:type="gramStart"/>
      <w:r w:rsidR="003B2964" w:rsidRPr="000E1B6F">
        <w:t>community</w:t>
      </w:r>
      <w:proofErr w:type="gramEnd"/>
      <w:r w:rsidR="003B2964" w:rsidRPr="000E1B6F">
        <w:t xml:space="preserve"> members, while deficit-based approaches tended to focus more on the relationship between the organisation and community members. </w:t>
      </w:r>
    </w:p>
    <w:p w14:paraId="098B042A" w14:textId="77777777" w:rsidR="003B40F6" w:rsidRDefault="003B40F6" w:rsidP="00557AB3">
      <w:pPr>
        <w:spacing w:after="0" w:line="480" w:lineRule="auto"/>
        <w:rPr>
          <w:color w:val="FF0000"/>
        </w:rPr>
      </w:pPr>
    </w:p>
    <w:p w14:paraId="30B01056" w14:textId="1EF67F89" w:rsidR="0042647B" w:rsidRDefault="0042647B" w:rsidP="00557AB3">
      <w:pPr>
        <w:spacing w:after="0" w:line="480" w:lineRule="auto"/>
      </w:pPr>
      <w:r>
        <w:lastRenderedPageBreak/>
        <w:t>The next section explores approaches to community health planning</w:t>
      </w:r>
      <w:r w:rsidR="003A461D">
        <w:t xml:space="preserve"> and capacity building for health</w:t>
      </w:r>
      <w:r>
        <w:t xml:space="preserve"> including how rural communities can </w:t>
      </w:r>
      <w:r w:rsidR="00851964">
        <w:t>provide</w:t>
      </w:r>
      <w:r w:rsidRPr="00C80F69">
        <w:t xml:space="preserve"> a basis to i</w:t>
      </w:r>
      <w:r w:rsidR="00895841">
        <w:t>mprove what works, promote posit</w:t>
      </w:r>
      <w:r w:rsidRPr="00C80F69">
        <w:t>ive aspects, challenge stereotypes, attract staff, encourage local responsibility for health and develop further strategies to ensure optimal health and well-being (Bourke et al</w:t>
      </w:r>
      <w:r w:rsidR="00F23478">
        <w:t>.,</w:t>
      </w:r>
      <w:r w:rsidRPr="00C80F69">
        <w:t xml:space="preserve"> 2010</w:t>
      </w:r>
      <w:r w:rsidR="003A461D">
        <w:t>; White</w:t>
      </w:r>
      <w:r w:rsidR="00F23478">
        <w:t>,</w:t>
      </w:r>
      <w:r w:rsidR="003A461D">
        <w:t xml:space="preserve"> 2013</w:t>
      </w:r>
      <w:r w:rsidRPr="00C80F69">
        <w:t>)</w:t>
      </w:r>
      <w:r w:rsidR="00851964">
        <w:t>.</w:t>
      </w:r>
      <w:r w:rsidR="00C80F69" w:rsidRPr="00C80F69">
        <w:t xml:space="preserve"> </w:t>
      </w:r>
    </w:p>
    <w:p w14:paraId="6D6F770D" w14:textId="77777777" w:rsidR="00634144" w:rsidRDefault="00634144" w:rsidP="00557AB3">
      <w:pPr>
        <w:spacing w:after="0" w:line="480" w:lineRule="auto"/>
      </w:pPr>
    </w:p>
    <w:p w14:paraId="68371652" w14:textId="77777777" w:rsidR="00BF5F2A" w:rsidRDefault="00BD7928" w:rsidP="00557AB3">
      <w:pPr>
        <w:pStyle w:val="Heading1"/>
        <w:spacing w:after="0" w:line="480" w:lineRule="auto"/>
      </w:pPr>
      <w:r w:rsidRPr="00BD7928">
        <w:t xml:space="preserve">Community Health Planning: Key Issues and Considerations </w:t>
      </w:r>
    </w:p>
    <w:p w14:paraId="24603782" w14:textId="137F452D" w:rsidR="000C7030" w:rsidRDefault="00EF4C68" w:rsidP="00557AB3">
      <w:pPr>
        <w:spacing w:after="0" w:line="480" w:lineRule="auto"/>
      </w:pPr>
      <w:r>
        <w:t>Co</w:t>
      </w:r>
      <w:r w:rsidR="00BB484B" w:rsidRPr="006C6CE5">
        <w:t>mmunity health planning has been acknowledged as a major field of practice and policy in nations across the world.</w:t>
      </w:r>
      <w:r w:rsidR="00AE322D">
        <w:t xml:space="preserve"> The ultimate goal of any health planning process is to improve or optimise the health and </w:t>
      </w:r>
      <w:proofErr w:type="gramStart"/>
      <w:r w:rsidR="00AE322D">
        <w:t>well</w:t>
      </w:r>
      <w:r w:rsidR="003F45A9">
        <w:t>-</w:t>
      </w:r>
      <w:r w:rsidR="00AE322D">
        <w:t>being</w:t>
      </w:r>
      <w:proofErr w:type="gramEnd"/>
      <w:r w:rsidR="00AE322D">
        <w:t xml:space="preserve"> of a community.</w:t>
      </w:r>
      <w:r w:rsidR="00BB484B">
        <w:t xml:space="preserve"> </w:t>
      </w:r>
      <w:r w:rsidR="00972157">
        <w:t xml:space="preserve">The </w:t>
      </w:r>
      <w:r w:rsidR="00972157" w:rsidRPr="00C86B3E">
        <w:t>World Health Organisation (201</w:t>
      </w:r>
      <w:r w:rsidR="00C86B3E">
        <w:t>8</w:t>
      </w:r>
      <w:r w:rsidR="00972157" w:rsidRPr="00C86B3E">
        <w:t>)</w:t>
      </w:r>
      <w:r w:rsidR="00895841">
        <w:t xml:space="preserve"> d</w:t>
      </w:r>
      <w:r w:rsidR="00972157">
        <w:t>efine</w:t>
      </w:r>
      <w:r w:rsidR="00D25769">
        <w:t>s</w:t>
      </w:r>
      <w:r w:rsidR="00972157">
        <w:t xml:space="preserve"> community health planning as ‘the orderly process of defining community health problems, identifying unmet needs and surveyi</w:t>
      </w:r>
      <w:r w:rsidR="002C689E">
        <w:t xml:space="preserve">ng the resources to meet them’ which </w:t>
      </w:r>
      <w:r w:rsidR="00972157">
        <w:t xml:space="preserve">also involves establishing priority goals that are realistic, feasible and actionable particularly within the context of rural areas where they may be increasing demands for health services with increasingly limited resources. </w:t>
      </w:r>
    </w:p>
    <w:p w14:paraId="60D75135" w14:textId="77777777" w:rsidR="003B40F6" w:rsidRDefault="003B40F6" w:rsidP="00557AB3">
      <w:pPr>
        <w:spacing w:after="0" w:line="480" w:lineRule="auto"/>
      </w:pPr>
    </w:p>
    <w:p w14:paraId="1A3E4966" w14:textId="406DD48E" w:rsidR="00260E4B" w:rsidRDefault="00AE322D" w:rsidP="00557AB3">
      <w:pPr>
        <w:spacing w:after="0" w:line="480" w:lineRule="auto"/>
      </w:pPr>
      <w:r>
        <w:t xml:space="preserve">While health planning can vary across countries and settings, within </w:t>
      </w:r>
      <w:r w:rsidR="00972157">
        <w:t>developed nations, i</w:t>
      </w:r>
      <w:r w:rsidR="00BB484B">
        <w:t xml:space="preserve">t is argued that ‘the challenge’ </w:t>
      </w:r>
      <w:r w:rsidR="00831CCD">
        <w:t>which</w:t>
      </w:r>
      <w:r w:rsidR="00BB484B">
        <w:t xml:space="preserve"> effective community health planning addresses i</w:t>
      </w:r>
      <w:r w:rsidR="00971E7D">
        <w:t>s making any healthcare system ‘</w:t>
      </w:r>
      <w:r w:rsidR="00BB484B">
        <w:t>more accountable to the average</w:t>
      </w:r>
      <w:r w:rsidR="00971E7D">
        <w:t xml:space="preserve"> residents in their communities’</w:t>
      </w:r>
      <w:r w:rsidR="00941E7A">
        <w:t xml:space="preserve"> (Steen</w:t>
      </w:r>
      <w:r w:rsidR="00971E7D">
        <w:t>,</w:t>
      </w:r>
      <w:r w:rsidR="00941E7A">
        <w:t xml:space="preserve"> 2008: 1) and thus better balancing commercial interests in healthcare delivery with public interests.</w:t>
      </w:r>
      <w:r w:rsidR="001067FA">
        <w:t xml:space="preserve"> Traditionally, health planning has tended to be driven and controlled by government bodies </w:t>
      </w:r>
      <w:r w:rsidR="007F0459">
        <w:t xml:space="preserve">with the </w:t>
      </w:r>
      <w:r w:rsidR="00652C99">
        <w:t xml:space="preserve">aim only to </w:t>
      </w:r>
      <w:r w:rsidR="001067FA">
        <w:t>identify priority issues.</w:t>
      </w:r>
      <w:r w:rsidR="002C689E">
        <w:t xml:space="preserve"> However, the ways in which</w:t>
      </w:r>
      <w:r w:rsidR="001067FA">
        <w:t xml:space="preserve"> information</w:t>
      </w:r>
      <w:r w:rsidR="002C689E">
        <w:t xml:space="preserve"> has been gathered through health needs assessments and used by governments has been criticised for not only the quality and validity of community consultation, but the ways in which has been used to align with bureaucratic pressures and priorities rather than those of a particular community or area (Jordan et al</w:t>
      </w:r>
      <w:r w:rsidR="00971E7D">
        <w:t>.,</w:t>
      </w:r>
      <w:r w:rsidR="002C689E">
        <w:t xml:space="preserve"> 1998; Hancock and </w:t>
      </w:r>
      <w:proofErr w:type="spellStart"/>
      <w:r w:rsidR="002C689E">
        <w:t>Minkler</w:t>
      </w:r>
      <w:proofErr w:type="spellEnd"/>
      <w:r w:rsidR="00971E7D">
        <w:t>,</w:t>
      </w:r>
      <w:r w:rsidR="002C689E">
        <w:t xml:space="preserve"> 1997). </w:t>
      </w:r>
      <w:r w:rsidR="001067FA">
        <w:t xml:space="preserve"> </w:t>
      </w:r>
      <w:r w:rsidR="00941E7A">
        <w:t xml:space="preserve"> </w:t>
      </w:r>
    </w:p>
    <w:p w14:paraId="3F533B3E" w14:textId="77777777" w:rsidR="003B40F6" w:rsidRDefault="003B40F6" w:rsidP="00557AB3">
      <w:pPr>
        <w:spacing w:after="0" w:line="480" w:lineRule="auto"/>
      </w:pPr>
    </w:p>
    <w:p w14:paraId="6292995B" w14:textId="50801C6F" w:rsidR="006E306E" w:rsidRPr="006B5F1A" w:rsidRDefault="005C7C31" w:rsidP="00557AB3">
      <w:pPr>
        <w:spacing w:after="0" w:line="480" w:lineRule="auto"/>
        <w:rPr>
          <w:color w:val="000000" w:themeColor="text1"/>
        </w:rPr>
      </w:pPr>
      <w:r w:rsidRPr="006B5F1A">
        <w:rPr>
          <w:color w:val="000000" w:themeColor="text1"/>
        </w:rPr>
        <w:t xml:space="preserve">Health service planning in Australia in recent years has </w:t>
      </w:r>
      <w:r w:rsidR="00E4199E">
        <w:rPr>
          <w:color w:val="000000" w:themeColor="text1"/>
        </w:rPr>
        <w:t>seen</w:t>
      </w:r>
      <w:r w:rsidRPr="006B5F1A">
        <w:rPr>
          <w:color w:val="000000" w:themeColor="text1"/>
        </w:rPr>
        <w:t xml:space="preserve"> a significant policy shift in </w:t>
      </w:r>
      <w:r w:rsidR="00D439B5" w:rsidRPr="006B5F1A">
        <w:rPr>
          <w:color w:val="000000" w:themeColor="text1"/>
        </w:rPr>
        <w:t>the way in which</w:t>
      </w:r>
      <w:r w:rsidRPr="006B5F1A">
        <w:rPr>
          <w:color w:val="000000" w:themeColor="text1"/>
        </w:rPr>
        <w:t xml:space="preserve"> rural health services are designed and funded. This shift has been characterised by the </w:t>
      </w:r>
      <w:r w:rsidRPr="006B5F1A">
        <w:rPr>
          <w:color w:val="000000" w:themeColor="text1"/>
        </w:rPr>
        <w:lastRenderedPageBreak/>
        <w:t xml:space="preserve">emergence of Primary Health Networks </w:t>
      </w:r>
      <w:r w:rsidR="0019268F" w:rsidRPr="006B5F1A">
        <w:rPr>
          <w:color w:val="000000" w:themeColor="text1"/>
        </w:rPr>
        <w:t xml:space="preserve">and </w:t>
      </w:r>
      <w:r w:rsidR="00F2108E" w:rsidRPr="006B5F1A">
        <w:rPr>
          <w:color w:val="000000" w:themeColor="text1"/>
        </w:rPr>
        <w:t xml:space="preserve">support for </w:t>
      </w:r>
      <w:r w:rsidR="006E306E" w:rsidRPr="006B5F1A">
        <w:rPr>
          <w:color w:val="000000" w:themeColor="text1"/>
        </w:rPr>
        <w:t>strategic</w:t>
      </w:r>
      <w:r w:rsidR="0019268F" w:rsidRPr="006B5F1A">
        <w:rPr>
          <w:color w:val="000000" w:themeColor="text1"/>
        </w:rPr>
        <w:t xml:space="preserve"> and </w:t>
      </w:r>
      <w:r w:rsidR="00F2108E" w:rsidRPr="006B5F1A">
        <w:rPr>
          <w:color w:val="000000" w:themeColor="text1"/>
        </w:rPr>
        <w:t xml:space="preserve">less </w:t>
      </w:r>
      <w:r w:rsidR="0019268F" w:rsidRPr="006B5F1A">
        <w:rPr>
          <w:color w:val="000000" w:themeColor="text1"/>
        </w:rPr>
        <w:t>linear based funding approaches</w:t>
      </w:r>
      <w:r w:rsidRPr="006B5F1A">
        <w:rPr>
          <w:color w:val="000000" w:themeColor="text1"/>
        </w:rPr>
        <w:t>.</w:t>
      </w:r>
      <w:r w:rsidR="0019268F" w:rsidRPr="006B5F1A">
        <w:rPr>
          <w:color w:val="000000" w:themeColor="text1"/>
        </w:rPr>
        <w:t xml:space="preserve"> </w:t>
      </w:r>
      <w:r w:rsidR="00D439B5" w:rsidRPr="006B5F1A">
        <w:rPr>
          <w:color w:val="000000" w:themeColor="text1"/>
        </w:rPr>
        <w:t xml:space="preserve">Primary Health Networks are national, government funded policy implementation and service purchasing agencies. </w:t>
      </w:r>
      <w:r w:rsidR="0019268F" w:rsidRPr="006B5F1A">
        <w:rPr>
          <w:color w:val="000000" w:themeColor="text1"/>
        </w:rPr>
        <w:t xml:space="preserve">Such approaches challenge the traditional </w:t>
      </w:r>
      <w:r w:rsidR="00F2108E" w:rsidRPr="006B5F1A">
        <w:rPr>
          <w:color w:val="000000" w:themeColor="text1"/>
        </w:rPr>
        <w:t>methods of service provision, based on identifying a need, funding a service a</w:t>
      </w:r>
      <w:r w:rsidR="000C7030">
        <w:rPr>
          <w:color w:val="000000" w:themeColor="text1"/>
        </w:rPr>
        <w:t xml:space="preserve">nd expecting a casual outcome. </w:t>
      </w:r>
      <w:r w:rsidR="00FC686D" w:rsidRPr="006B5F1A">
        <w:rPr>
          <w:color w:val="000000" w:themeColor="text1"/>
        </w:rPr>
        <w:t xml:space="preserve">This policy shift is driven by the </w:t>
      </w:r>
      <w:r w:rsidR="006B5F1A" w:rsidRPr="006B5F1A">
        <w:rPr>
          <w:color w:val="000000" w:themeColor="text1"/>
        </w:rPr>
        <w:t>five</w:t>
      </w:r>
      <w:r w:rsidR="00FC686D" w:rsidRPr="006B5F1A">
        <w:rPr>
          <w:color w:val="000000" w:themeColor="text1"/>
        </w:rPr>
        <w:t xml:space="preserve"> outcomes and objectives defined within the </w:t>
      </w:r>
      <w:r w:rsidR="006E306E" w:rsidRPr="00284198">
        <w:rPr>
          <w:color w:val="000000" w:themeColor="text1"/>
        </w:rPr>
        <w:t xml:space="preserve">National </w:t>
      </w:r>
      <w:r w:rsidR="00FC686D" w:rsidRPr="00284198">
        <w:rPr>
          <w:color w:val="000000" w:themeColor="text1"/>
        </w:rPr>
        <w:t>Strategic Framework for Rural and Remote Health</w:t>
      </w:r>
      <w:r w:rsidR="00B20A87" w:rsidRPr="00284198">
        <w:rPr>
          <w:color w:val="000000" w:themeColor="text1"/>
        </w:rPr>
        <w:t xml:space="preserve"> (</w:t>
      </w:r>
      <w:r w:rsidR="00284198" w:rsidRPr="00284198">
        <w:rPr>
          <w:color w:val="000000" w:themeColor="text1"/>
        </w:rPr>
        <w:t>Australian Heal</w:t>
      </w:r>
      <w:r w:rsidR="00362AD0">
        <w:rPr>
          <w:color w:val="000000" w:themeColor="text1"/>
        </w:rPr>
        <w:t>th Ministers’ Advisory Council</w:t>
      </w:r>
      <w:r w:rsidR="00284198" w:rsidRPr="00284198">
        <w:rPr>
          <w:color w:val="000000" w:themeColor="text1"/>
        </w:rPr>
        <w:t xml:space="preserve"> Rural Health Standing Committee</w:t>
      </w:r>
      <w:r w:rsidR="00971E7D">
        <w:rPr>
          <w:color w:val="000000" w:themeColor="text1"/>
        </w:rPr>
        <w:t>,</w:t>
      </w:r>
      <w:r w:rsidR="00284198">
        <w:rPr>
          <w:color w:val="000000" w:themeColor="text1"/>
        </w:rPr>
        <w:t xml:space="preserve"> 2011</w:t>
      </w:r>
      <w:r w:rsidR="00B20A87" w:rsidRPr="00284198">
        <w:rPr>
          <w:color w:val="000000" w:themeColor="text1"/>
        </w:rPr>
        <w:t>)</w:t>
      </w:r>
      <w:r w:rsidR="006B5F1A" w:rsidRPr="00284198">
        <w:rPr>
          <w:color w:val="000000" w:themeColor="text1"/>
        </w:rPr>
        <w:t>:</w:t>
      </w:r>
    </w:p>
    <w:p w14:paraId="2D1226F4" w14:textId="38987A4A" w:rsidR="00FC686D" w:rsidRPr="006B5F1A" w:rsidRDefault="00FC686D" w:rsidP="00557AB3">
      <w:pPr>
        <w:pStyle w:val="ListParagraph"/>
        <w:numPr>
          <w:ilvl w:val="0"/>
          <w:numId w:val="12"/>
        </w:numPr>
        <w:spacing w:after="0" w:line="480" w:lineRule="auto"/>
        <w:rPr>
          <w:color w:val="000000" w:themeColor="text1"/>
        </w:rPr>
      </w:pPr>
      <w:r w:rsidRPr="006B5F1A">
        <w:rPr>
          <w:color w:val="000000" w:themeColor="text1"/>
        </w:rPr>
        <w:t>Improved access to appropriate and comprehensive health care for people living in rural and remote Australia</w:t>
      </w:r>
      <w:r w:rsidR="00035F36">
        <w:rPr>
          <w:color w:val="000000" w:themeColor="text1"/>
        </w:rPr>
        <w:t>;</w:t>
      </w:r>
    </w:p>
    <w:p w14:paraId="2C6D31E3" w14:textId="50C58C55" w:rsidR="00BD4E93" w:rsidRPr="006B5F1A" w:rsidRDefault="00BD4E93" w:rsidP="00557AB3">
      <w:pPr>
        <w:pStyle w:val="ListParagraph"/>
        <w:numPr>
          <w:ilvl w:val="0"/>
          <w:numId w:val="12"/>
        </w:numPr>
        <w:spacing w:after="0" w:line="480" w:lineRule="auto"/>
        <w:rPr>
          <w:color w:val="000000" w:themeColor="text1"/>
        </w:rPr>
      </w:pPr>
      <w:r w:rsidRPr="006B5F1A">
        <w:rPr>
          <w:color w:val="000000" w:themeColor="text1"/>
        </w:rPr>
        <w:t>Effective, appropriate and sustainable health care in rural and remote settings</w:t>
      </w:r>
      <w:r w:rsidR="00035F36">
        <w:rPr>
          <w:color w:val="000000" w:themeColor="text1"/>
        </w:rPr>
        <w:t>;</w:t>
      </w:r>
    </w:p>
    <w:p w14:paraId="741FA3BC" w14:textId="46C49A19" w:rsidR="00BD4E93" w:rsidRPr="006B5F1A" w:rsidRDefault="00BD4E93" w:rsidP="00557AB3">
      <w:pPr>
        <w:pStyle w:val="ListParagraph"/>
        <w:numPr>
          <w:ilvl w:val="0"/>
          <w:numId w:val="12"/>
        </w:numPr>
        <w:spacing w:after="0" w:line="480" w:lineRule="auto"/>
        <w:rPr>
          <w:color w:val="000000" w:themeColor="text1"/>
        </w:rPr>
      </w:pPr>
      <w:r w:rsidRPr="006B5F1A">
        <w:rPr>
          <w:color w:val="000000" w:themeColor="text1"/>
        </w:rPr>
        <w:t>Health service design that better meets local consumer and community needs</w:t>
      </w:r>
      <w:r w:rsidR="00035F36">
        <w:rPr>
          <w:color w:val="000000" w:themeColor="text1"/>
        </w:rPr>
        <w:t>;</w:t>
      </w:r>
    </w:p>
    <w:p w14:paraId="7CD94E11" w14:textId="532DFFD1" w:rsidR="00BD4E93" w:rsidRPr="006B5F1A" w:rsidRDefault="00BD4E93" w:rsidP="00557AB3">
      <w:pPr>
        <w:pStyle w:val="ListParagraph"/>
        <w:numPr>
          <w:ilvl w:val="0"/>
          <w:numId w:val="12"/>
        </w:numPr>
        <w:spacing w:after="0" w:line="480" w:lineRule="auto"/>
        <w:rPr>
          <w:color w:val="000000" w:themeColor="text1"/>
        </w:rPr>
      </w:pPr>
      <w:r w:rsidRPr="006B5F1A">
        <w:rPr>
          <w:color w:val="000000" w:themeColor="text1"/>
        </w:rPr>
        <w:t>Collaborative health service planning and policy development in rural and remote Australia</w:t>
      </w:r>
      <w:r w:rsidR="00035F36">
        <w:rPr>
          <w:color w:val="000000" w:themeColor="text1"/>
        </w:rPr>
        <w:t>;</w:t>
      </w:r>
    </w:p>
    <w:p w14:paraId="3794DC3C" w14:textId="77777777" w:rsidR="006E306E" w:rsidRPr="006B5F1A" w:rsidRDefault="00BD4E93" w:rsidP="00557AB3">
      <w:pPr>
        <w:pStyle w:val="ListParagraph"/>
        <w:numPr>
          <w:ilvl w:val="0"/>
          <w:numId w:val="12"/>
        </w:numPr>
        <w:spacing w:after="0" w:line="480" w:lineRule="auto"/>
        <w:rPr>
          <w:color w:val="000000" w:themeColor="text1"/>
        </w:rPr>
      </w:pPr>
      <w:r w:rsidRPr="006B5F1A">
        <w:rPr>
          <w:color w:val="000000" w:themeColor="text1"/>
        </w:rPr>
        <w:t>Strong leadership, governance</w:t>
      </w:r>
      <w:r w:rsidR="006B5F1A" w:rsidRPr="006B5F1A">
        <w:rPr>
          <w:color w:val="000000" w:themeColor="text1"/>
        </w:rPr>
        <w:t>.</w:t>
      </w:r>
      <w:r w:rsidRPr="006B5F1A">
        <w:rPr>
          <w:color w:val="000000" w:themeColor="text1"/>
        </w:rPr>
        <w:t xml:space="preserve">  </w:t>
      </w:r>
      <w:r w:rsidR="006E306E" w:rsidRPr="006B5F1A">
        <w:rPr>
          <w:color w:val="000000" w:themeColor="text1"/>
        </w:rPr>
        <w:t xml:space="preserve">   </w:t>
      </w:r>
    </w:p>
    <w:p w14:paraId="77147CF5" w14:textId="77777777" w:rsidR="003B40F6" w:rsidRDefault="003B40F6" w:rsidP="00557AB3">
      <w:pPr>
        <w:spacing w:after="0" w:line="480" w:lineRule="auto"/>
      </w:pPr>
    </w:p>
    <w:p w14:paraId="5DAFDCDE" w14:textId="5D3219B0" w:rsidR="003B2964" w:rsidRDefault="00972157" w:rsidP="00557AB3">
      <w:pPr>
        <w:spacing w:after="0" w:line="480" w:lineRule="auto"/>
      </w:pPr>
      <w:r>
        <w:t xml:space="preserve">While </w:t>
      </w:r>
      <w:r w:rsidR="00035F36">
        <w:t xml:space="preserve">the </w:t>
      </w:r>
      <w:r>
        <w:t xml:space="preserve">importance of community health planning is argued internationally </w:t>
      </w:r>
      <w:r w:rsidRPr="00F24F95">
        <w:t>(</w:t>
      </w:r>
      <w:proofErr w:type="spellStart"/>
      <w:r w:rsidR="00140BBB" w:rsidRPr="00F24F95">
        <w:t>Manaf</w:t>
      </w:r>
      <w:proofErr w:type="spellEnd"/>
      <w:r w:rsidR="00140BBB" w:rsidRPr="00F24F95">
        <w:t xml:space="preserve"> </w:t>
      </w:r>
      <w:r w:rsidR="00661631" w:rsidRPr="00661631">
        <w:rPr>
          <w:lang w:val="en-US"/>
        </w:rPr>
        <w:t xml:space="preserve">and </w:t>
      </w:r>
      <w:proofErr w:type="spellStart"/>
      <w:r w:rsidR="00661631" w:rsidRPr="00661631">
        <w:rPr>
          <w:lang w:val="en-US"/>
        </w:rPr>
        <w:t>Juni</w:t>
      </w:r>
      <w:proofErr w:type="spellEnd"/>
      <w:r w:rsidR="00661631" w:rsidRPr="00661631">
        <w:rPr>
          <w:lang w:val="en-US"/>
        </w:rPr>
        <w:t xml:space="preserve">, </w:t>
      </w:r>
      <w:r w:rsidR="00140BBB" w:rsidRPr="00F24F95">
        <w:t>2017</w:t>
      </w:r>
      <w:r>
        <w:t>), t</w:t>
      </w:r>
      <w:r w:rsidRPr="006C6CE5">
        <w:t>here is a paucity of information on best practice in health planning for rural areas, particularly in the context of social change</w:t>
      </w:r>
      <w:r w:rsidR="00791D0B">
        <w:t xml:space="preserve">, </w:t>
      </w:r>
      <w:proofErr w:type="gramStart"/>
      <w:r w:rsidR="00791D0B">
        <w:t xml:space="preserve">economic </w:t>
      </w:r>
      <w:r w:rsidRPr="006C6CE5">
        <w:t xml:space="preserve"> and</w:t>
      </w:r>
      <w:proofErr w:type="gramEnd"/>
      <w:r w:rsidRPr="006C6CE5">
        <w:t xml:space="preserve"> new technologies for health service delivery.</w:t>
      </w:r>
      <w:r>
        <w:t xml:space="preserve"> </w:t>
      </w:r>
      <w:r w:rsidR="00B206BD" w:rsidRPr="006C6CE5">
        <w:t>Recent developments have seen the emergence of community development approaches that work at the grassroots, engage and empower local residents encourage participation in processes that build on strengths and address weaknesses</w:t>
      </w:r>
      <w:r w:rsidR="00B206BD">
        <w:t xml:space="preserve"> (Johns et al.</w:t>
      </w:r>
      <w:r w:rsidR="00971E7D">
        <w:t>,</w:t>
      </w:r>
      <w:r w:rsidR="00B206BD">
        <w:t xml:space="preserve"> 2007)</w:t>
      </w:r>
      <w:r w:rsidR="00B206BD" w:rsidRPr="00C80F69">
        <w:t>.</w:t>
      </w:r>
      <w:r w:rsidR="00941E7A">
        <w:t xml:space="preserve"> </w:t>
      </w:r>
      <w:r w:rsidR="00B206BD" w:rsidRPr="00C80F69">
        <w:t xml:space="preserve"> </w:t>
      </w:r>
    </w:p>
    <w:p w14:paraId="680AAF20" w14:textId="77777777" w:rsidR="003B40F6" w:rsidRPr="00C80F69" w:rsidRDefault="003B40F6" w:rsidP="00557AB3">
      <w:pPr>
        <w:spacing w:after="0" w:line="480" w:lineRule="auto"/>
      </w:pPr>
    </w:p>
    <w:p w14:paraId="3EB928C2" w14:textId="5B89B05B" w:rsidR="00AE322D" w:rsidRDefault="00C764FD" w:rsidP="00557AB3">
      <w:pPr>
        <w:spacing w:after="0" w:line="480" w:lineRule="auto"/>
      </w:pPr>
      <w:r>
        <w:t xml:space="preserve">White (2013) </w:t>
      </w:r>
      <w:r w:rsidR="00BF5F2A">
        <w:t>examined</w:t>
      </w:r>
      <w:r>
        <w:t xml:space="preserve"> key issues</w:t>
      </w:r>
      <w:r w:rsidR="00260E4B">
        <w:t xml:space="preserve"> and best practice</w:t>
      </w:r>
      <w:r>
        <w:t xml:space="preserve"> for rural health population planning and delivery</w:t>
      </w:r>
      <w:r w:rsidR="00BF5F2A">
        <w:t xml:space="preserve"> within published literature and</w:t>
      </w:r>
      <w:r>
        <w:t xml:space="preserve"> found that there were six key elements that should be considered by those responsible for the development of policies and strategies in rural communities.</w:t>
      </w:r>
      <w:r w:rsidR="00C92EBA">
        <w:t xml:space="preserve"> Many of these areas are concerned with identifying and understanding the local contexts of health including defining rural communities, identifying local assets and challenges, multiple levels of community support and understanding social determinants of health which considers a ‘full range of factors that influence and contribute’ (White</w:t>
      </w:r>
      <w:r w:rsidR="00971E7D">
        <w:t>,</w:t>
      </w:r>
      <w:r w:rsidR="00C92EBA">
        <w:t xml:space="preserve"> 2013: 34) to a community’s </w:t>
      </w:r>
      <w:r w:rsidR="00C92EBA">
        <w:lastRenderedPageBreak/>
        <w:t>health and well</w:t>
      </w:r>
      <w:r w:rsidR="003F45A9">
        <w:t>-</w:t>
      </w:r>
      <w:r w:rsidR="00C92EBA">
        <w:t>being.</w:t>
      </w:r>
      <w:r w:rsidR="00BF5F2A">
        <w:t xml:space="preserve"> These findings are consistent with our own research and practice which has identified</w:t>
      </w:r>
      <w:r w:rsidR="00712C15">
        <w:t xml:space="preserve"> that viewing communities themselves as authentic partners is essential in any process of community health planning (Auckland</w:t>
      </w:r>
      <w:r w:rsidR="00971E7D">
        <w:t xml:space="preserve"> et al.</w:t>
      </w:r>
      <w:r w:rsidR="00712C15">
        <w:t xml:space="preserve">, </w:t>
      </w:r>
      <w:r w:rsidR="00AE322D">
        <w:t>2007; Johns</w:t>
      </w:r>
      <w:r w:rsidR="00971E7D">
        <w:t xml:space="preserve"> et al.</w:t>
      </w:r>
      <w:r w:rsidR="00AE322D">
        <w:t xml:space="preserve">, 2007; </w:t>
      </w:r>
      <w:r w:rsidR="00237314">
        <w:t>Kilpatrick and Auckland, 2009</w:t>
      </w:r>
      <w:r w:rsidR="00971E7D">
        <w:t>;</w:t>
      </w:r>
      <w:r w:rsidR="00971E7D" w:rsidRPr="00971E7D">
        <w:t xml:space="preserve"> </w:t>
      </w:r>
      <w:r w:rsidR="00971E7D">
        <w:t>Whelan et al., 2009</w:t>
      </w:r>
      <w:r w:rsidR="00AE322D">
        <w:t>)</w:t>
      </w:r>
      <w:r w:rsidR="00712C15">
        <w:t xml:space="preserve">. We have identified </w:t>
      </w:r>
      <w:r w:rsidR="00BF5F2A">
        <w:t xml:space="preserve">the following </w:t>
      </w:r>
      <w:r w:rsidR="00EF4C68">
        <w:t xml:space="preserve">five </w:t>
      </w:r>
      <w:r w:rsidR="00A13D7E">
        <w:t>attributes</w:t>
      </w:r>
      <w:r w:rsidR="00BF5F2A">
        <w:t xml:space="preserve"> as key components of evidence based community health planning</w:t>
      </w:r>
      <w:r w:rsidR="00F571B7">
        <w:t>:</w:t>
      </w:r>
      <w:r w:rsidR="00AE322D">
        <w:t xml:space="preserve"> </w:t>
      </w:r>
    </w:p>
    <w:p w14:paraId="605D7AD5" w14:textId="77777777" w:rsidR="00F24F95" w:rsidRDefault="00F24F95" w:rsidP="00557AB3">
      <w:pPr>
        <w:numPr>
          <w:ilvl w:val="0"/>
          <w:numId w:val="11"/>
        </w:numPr>
        <w:spacing w:after="0" w:line="480" w:lineRule="auto"/>
      </w:pPr>
      <w:r>
        <w:t>An integrated and holistic approach to community health based on social determinants of health;</w:t>
      </w:r>
    </w:p>
    <w:p w14:paraId="7D3E2DD8" w14:textId="2827BA2A" w:rsidR="00B13618" w:rsidRDefault="00213227" w:rsidP="00557AB3">
      <w:pPr>
        <w:numPr>
          <w:ilvl w:val="0"/>
          <w:numId w:val="11"/>
        </w:numPr>
        <w:spacing w:after="0" w:line="480" w:lineRule="auto"/>
      </w:pPr>
      <w:r>
        <w:t>A strength</w:t>
      </w:r>
      <w:r w:rsidR="0048036F">
        <w:t>s</w:t>
      </w:r>
      <w:r>
        <w:t>-</w:t>
      </w:r>
      <w:r w:rsidR="00B13618">
        <w:t>based approach</w:t>
      </w:r>
      <w:r w:rsidR="00F24F95">
        <w:t xml:space="preserve"> which builds capacity </w:t>
      </w:r>
      <w:r w:rsidR="00810C7E">
        <w:t xml:space="preserve">within communities </w:t>
      </w:r>
      <w:r w:rsidR="00F24F95">
        <w:t>to address community priorities</w:t>
      </w:r>
      <w:r w:rsidR="00035F36">
        <w:t>;</w:t>
      </w:r>
    </w:p>
    <w:p w14:paraId="5571A9F5" w14:textId="77777777" w:rsidR="0027285D" w:rsidRDefault="00F24F95" w:rsidP="00557AB3">
      <w:pPr>
        <w:numPr>
          <w:ilvl w:val="0"/>
          <w:numId w:val="11"/>
        </w:numPr>
        <w:spacing w:after="0" w:line="480" w:lineRule="auto"/>
      </w:pPr>
      <w:r>
        <w:t xml:space="preserve">Partnerships and coalitions based on engagement and shared aims and visions; </w:t>
      </w:r>
    </w:p>
    <w:p w14:paraId="04920AD4" w14:textId="77777777" w:rsidR="00B13618" w:rsidRDefault="00F24F95" w:rsidP="00557AB3">
      <w:pPr>
        <w:numPr>
          <w:ilvl w:val="0"/>
          <w:numId w:val="11"/>
        </w:numPr>
        <w:spacing w:after="0" w:line="480" w:lineRule="auto"/>
      </w:pPr>
      <w:r>
        <w:t xml:space="preserve">A strong commitment to community consultation and engagement, through strategic approaches such as community health needs assessments or health </w:t>
      </w:r>
      <w:r w:rsidR="00523BA2">
        <w:t xml:space="preserve">improvement </w:t>
      </w:r>
      <w:r>
        <w:t xml:space="preserve">projects; </w:t>
      </w:r>
    </w:p>
    <w:p w14:paraId="71B60CED" w14:textId="77777777" w:rsidR="00F24F95" w:rsidRDefault="00F24F95" w:rsidP="00557AB3">
      <w:pPr>
        <w:numPr>
          <w:ilvl w:val="0"/>
          <w:numId w:val="11"/>
        </w:numPr>
        <w:spacing w:after="0" w:line="480" w:lineRule="auto"/>
      </w:pPr>
      <w:r>
        <w:t xml:space="preserve">An understanding of research and evaluation, and the collection of valid information from a variety of </w:t>
      </w:r>
      <w:proofErr w:type="gramStart"/>
      <w:r>
        <w:t>areas which</w:t>
      </w:r>
      <w:proofErr w:type="gramEnd"/>
      <w:r>
        <w:t xml:space="preserve"> best provide informed views on community priorities. </w:t>
      </w:r>
    </w:p>
    <w:p w14:paraId="2F49E26A" w14:textId="77777777" w:rsidR="00F571B7" w:rsidRDefault="00F571B7" w:rsidP="00557AB3">
      <w:pPr>
        <w:spacing w:after="0" w:line="480" w:lineRule="auto"/>
        <w:ind w:left="720"/>
      </w:pPr>
    </w:p>
    <w:p w14:paraId="701ADCDA" w14:textId="77777777" w:rsidR="00557AE2" w:rsidRDefault="00A63873" w:rsidP="00557AB3">
      <w:pPr>
        <w:pStyle w:val="Heading1"/>
        <w:spacing w:after="0" w:line="480" w:lineRule="auto"/>
      </w:pPr>
      <w:r w:rsidRPr="00BD7928">
        <w:t xml:space="preserve">Planning in Practice: </w:t>
      </w:r>
      <w:r w:rsidR="00BD7928" w:rsidRPr="00BD7928">
        <w:t>Case Studies from Rural Australia</w:t>
      </w:r>
      <w:r w:rsidR="00BD7928">
        <w:t xml:space="preserve"> </w:t>
      </w:r>
    </w:p>
    <w:p w14:paraId="519781AB" w14:textId="2EC476AB" w:rsidR="00BD7928" w:rsidRDefault="00BD7928" w:rsidP="00557AB3">
      <w:pPr>
        <w:spacing w:after="0" w:line="480" w:lineRule="auto"/>
      </w:pPr>
      <w:r w:rsidRPr="00BD7928">
        <w:t xml:space="preserve">This section </w:t>
      </w:r>
      <w:r>
        <w:t xml:space="preserve">provides three focussed case studies </w:t>
      </w:r>
      <w:r w:rsidRPr="00F85DB6">
        <w:t xml:space="preserve">developed by rural </w:t>
      </w:r>
      <w:r>
        <w:t xml:space="preserve">Australian </w:t>
      </w:r>
      <w:r w:rsidRPr="00F85DB6">
        <w:t xml:space="preserve">communities and </w:t>
      </w:r>
      <w:r>
        <w:t>partner organisations which showcase how a strengths</w:t>
      </w:r>
      <w:r w:rsidR="00091B8A">
        <w:t>-</w:t>
      </w:r>
      <w:r>
        <w:t xml:space="preserve">based approach to community health can assist in planning and driving a variety of </w:t>
      </w:r>
      <w:r w:rsidRPr="00F85DB6">
        <w:t>health and well-being support programs and strategies</w:t>
      </w:r>
      <w:r>
        <w:t xml:space="preserve">. </w:t>
      </w:r>
    </w:p>
    <w:p w14:paraId="02D34B92" w14:textId="77777777" w:rsidR="00F571B7" w:rsidRPr="00BD7928" w:rsidRDefault="00F571B7" w:rsidP="00557AB3">
      <w:pPr>
        <w:spacing w:after="0" w:line="480" w:lineRule="auto"/>
      </w:pPr>
    </w:p>
    <w:p w14:paraId="3C565B4E" w14:textId="77777777" w:rsidR="00BD7928" w:rsidRDefault="00BD7928" w:rsidP="00557AB3">
      <w:pPr>
        <w:pStyle w:val="Heading2"/>
        <w:spacing w:after="0" w:line="480" w:lineRule="auto"/>
      </w:pPr>
      <w:r w:rsidRPr="0068012F">
        <w:t xml:space="preserve">Case </w:t>
      </w:r>
      <w:r w:rsidR="0068012F" w:rsidRPr="0068012F">
        <w:t>s</w:t>
      </w:r>
      <w:r w:rsidRPr="0068012F">
        <w:t>tudy 1: Planning for the health and well-being of fishing families</w:t>
      </w:r>
      <w:r w:rsidR="00260E4B" w:rsidRPr="0068012F">
        <w:t xml:space="preserve"> </w:t>
      </w:r>
    </w:p>
    <w:p w14:paraId="57F9A589" w14:textId="5D10A8C4" w:rsidR="00BD7928" w:rsidRDefault="00BD7928" w:rsidP="00557AB3">
      <w:pPr>
        <w:spacing w:after="0" w:line="480" w:lineRule="auto"/>
      </w:pPr>
      <w:r w:rsidRPr="00BD7928">
        <w:t>The Australian wild-catch fishing industry, through its producer-led state-based associations, identified a need to address industry economic losses incurred through poor health and well</w:t>
      </w:r>
      <w:r w:rsidR="003F45A9">
        <w:t>-</w:t>
      </w:r>
      <w:r w:rsidRPr="00BD7928">
        <w:t>being of fishers’ who are dispersed along rural coastal areas of Australia (</w:t>
      </w:r>
      <w:r w:rsidR="00AD329E">
        <w:t>King et al.</w:t>
      </w:r>
      <w:r w:rsidR="004978B9" w:rsidRPr="00BD7928">
        <w:t>, 2015</w:t>
      </w:r>
      <w:r w:rsidR="004978B9">
        <w:t>)</w:t>
      </w:r>
      <w:r w:rsidRPr="00BD7928">
        <w:t xml:space="preserve">. This economic motivation contrasts with traditional social, often equity focussed, motivation for planning Australian rural health services. Three industry funded research projects saw </w:t>
      </w:r>
      <w:r w:rsidRPr="00BD7928">
        <w:lastRenderedPageBreak/>
        <w:t>researchers working with fishing communities and associations to develop programs and tools to improve fisher health (Fisheries Research and Development</w:t>
      </w:r>
      <w:r w:rsidR="00AD329E">
        <w:t xml:space="preserve"> Corporation, 2017; Kilpatrick et al.</w:t>
      </w:r>
      <w:r w:rsidRPr="00BD7928">
        <w:t>, 2012; King, et al., 201</w:t>
      </w:r>
      <w:r w:rsidR="004978B9">
        <w:t>5</w:t>
      </w:r>
      <w:r w:rsidRPr="00BD7928">
        <w:t>).</w:t>
      </w:r>
    </w:p>
    <w:p w14:paraId="41AB7A9F" w14:textId="77777777" w:rsidR="00F571B7" w:rsidRPr="00BD7928" w:rsidRDefault="00F571B7" w:rsidP="00557AB3">
      <w:pPr>
        <w:spacing w:after="0" w:line="480" w:lineRule="auto"/>
      </w:pPr>
    </w:p>
    <w:p w14:paraId="1F506FAF" w14:textId="76417A48" w:rsidR="00BD7928" w:rsidRDefault="00BD7928" w:rsidP="00557AB3">
      <w:pPr>
        <w:spacing w:after="0" w:line="480" w:lineRule="auto"/>
      </w:pPr>
      <w:r w:rsidRPr="00BD7928">
        <w:t>Alongside the disease and health risk factors experienced by Australian rural populations, fishers are at particular risk of certain kinds of illnesses (</w:t>
      </w:r>
      <w:r w:rsidR="0018103E">
        <w:t>for example</w:t>
      </w:r>
      <w:r w:rsidR="007A5A80">
        <w:t>,</w:t>
      </w:r>
      <w:r w:rsidRPr="00BD7928">
        <w:t xml:space="preserve"> skin and diet-related), as well as injury (fatality rates are more than double those in the agricultural sector). While both women and men are at risk, 87% of fishers are male, a factor placing them at greater risk of suicide. Insecurity of fishing quotas and licences drives chronic livelihood insecurity, resulting in reports of stress, depression and suicide (</w:t>
      </w:r>
      <w:r w:rsidR="00AD329E">
        <w:t>King</w:t>
      </w:r>
      <w:r w:rsidR="004978B9" w:rsidRPr="00BD7928">
        <w:t xml:space="preserve"> et al., 201</w:t>
      </w:r>
      <w:r w:rsidR="004978B9">
        <w:t>5</w:t>
      </w:r>
      <w:r w:rsidRPr="00BD7928">
        <w:t xml:space="preserve">). </w:t>
      </w:r>
    </w:p>
    <w:p w14:paraId="6A8C067E" w14:textId="77777777" w:rsidR="00F571B7" w:rsidRPr="00BD7928" w:rsidRDefault="00F571B7" w:rsidP="00557AB3">
      <w:pPr>
        <w:spacing w:after="0" w:line="480" w:lineRule="auto"/>
      </w:pPr>
    </w:p>
    <w:p w14:paraId="6BD94A2A" w14:textId="0CDC5602" w:rsidR="00BD7928" w:rsidRDefault="00BD7928" w:rsidP="00557AB3">
      <w:pPr>
        <w:spacing w:after="0" w:line="480" w:lineRule="auto"/>
      </w:pPr>
      <w:r w:rsidRPr="00BD7928">
        <w:t xml:space="preserve">The first project worked with both farming and fishing communities. It found farming industry associations, unlike their fishing </w:t>
      </w:r>
      <w:proofErr w:type="gramStart"/>
      <w:r w:rsidRPr="00BD7928">
        <w:t>counterparts,</w:t>
      </w:r>
      <w:proofErr w:type="gramEnd"/>
      <w:r w:rsidRPr="00BD7928">
        <w:t xml:space="preserve"> were proactive in working with local and national health services to develop health and well-being programs that matched farmers’ needs. Using credibility of industry events as ‘soft entry points’ to health checks, mental </w:t>
      </w:r>
      <w:proofErr w:type="gramStart"/>
      <w:r w:rsidRPr="00BD7928">
        <w:t>well-being</w:t>
      </w:r>
      <w:proofErr w:type="gramEnd"/>
      <w:r w:rsidRPr="00BD7928">
        <w:t xml:space="preserve"> and other programs was key to farmer uptake (Kilpatrick, et al., 2012). In the second project, three fishing communities worked with the researchers and local health services to develop health and well-being plans and health toolkits of useful information and contacts for each of the fishing communities, and prioritise soft entry points (King, et al., 201</w:t>
      </w:r>
      <w:r w:rsidR="00EC4716">
        <w:t>5</w:t>
      </w:r>
      <w:r w:rsidRPr="00BD7928">
        <w:t>). This project identified women as key players in the fishing industry</w:t>
      </w:r>
      <w:r w:rsidR="00163555">
        <w:t xml:space="preserve"> (Kilpatrick</w:t>
      </w:r>
      <w:r w:rsidR="00991CB4">
        <w:t xml:space="preserve"> et al.</w:t>
      </w:r>
      <w:r w:rsidR="00A2006F">
        <w:t>, 2015)</w:t>
      </w:r>
      <w:r w:rsidRPr="00BD7928">
        <w:t>. Their knowledge of, and credibility within, fishing businesses makes them valuable sources of information about health issues facing the industry and effective strategies to address them. A key finding was women’s expertise should be applied in conjunction with industry associations and health providers to achieve bet</w:t>
      </w:r>
      <w:r w:rsidR="00A2006F">
        <w:t>ter health outcomes (Kilpatrick</w:t>
      </w:r>
      <w:r w:rsidRPr="00BD7928">
        <w:t xml:space="preserve"> </w:t>
      </w:r>
      <w:r w:rsidR="00A2006F">
        <w:t>et al.,</w:t>
      </w:r>
      <w:r w:rsidRPr="00BD7928">
        <w:t xml:space="preserve"> 2015). The final project adapted the Sustainable Farm </w:t>
      </w:r>
      <w:proofErr w:type="spellStart"/>
      <w:r w:rsidRPr="00BD7928">
        <w:t>Families</w:t>
      </w:r>
      <w:r w:rsidRPr="00EC4716">
        <w:rPr>
          <w:vertAlign w:val="superscript"/>
        </w:rPr>
        <w:t>TM</w:t>
      </w:r>
      <w:proofErr w:type="spellEnd"/>
      <w:r w:rsidRPr="00BD7928">
        <w:t xml:space="preserve"> program for the fishing industry and collected </w:t>
      </w:r>
      <w:r w:rsidR="00543DED">
        <w:t xml:space="preserve">detailed </w:t>
      </w:r>
      <w:r w:rsidRPr="00BD7928">
        <w:t xml:space="preserve">self-reported health data </w:t>
      </w:r>
      <w:r w:rsidRPr="00051427">
        <w:t>from</w:t>
      </w:r>
      <w:r w:rsidR="002C44FB">
        <w:t xml:space="preserve"> 872</w:t>
      </w:r>
      <w:r w:rsidRPr="00051427">
        <w:t xml:space="preserve"> </w:t>
      </w:r>
      <w:r w:rsidR="00874305">
        <w:t xml:space="preserve">commercial </w:t>
      </w:r>
      <w:r w:rsidRPr="0034504B">
        <w:t>fishers</w:t>
      </w:r>
      <w:r w:rsidR="00953632">
        <w:t xml:space="preserve"> (over 20% response rate)</w:t>
      </w:r>
      <w:r w:rsidR="0018470A">
        <w:t>,</w:t>
      </w:r>
      <w:r w:rsidRPr="00BD7928">
        <w:t xml:space="preserve"> to be used in planning health services.</w:t>
      </w:r>
    </w:p>
    <w:p w14:paraId="18E1FCB9" w14:textId="77777777" w:rsidR="00F571B7" w:rsidRPr="00BD7928" w:rsidRDefault="00F571B7" w:rsidP="00557AB3">
      <w:pPr>
        <w:spacing w:after="0" w:line="480" w:lineRule="auto"/>
      </w:pPr>
    </w:p>
    <w:p w14:paraId="09FF12F0" w14:textId="2F23D7CD" w:rsidR="00BD7928" w:rsidRDefault="00BD7928" w:rsidP="00557AB3">
      <w:pPr>
        <w:spacing w:after="0" w:line="480" w:lineRule="auto"/>
      </w:pPr>
      <w:r w:rsidRPr="00BD7928">
        <w:t xml:space="preserve">The fishing industry example highlights the power of planning for rural health using </w:t>
      </w:r>
      <w:r w:rsidR="00310999">
        <w:t xml:space="preserve">a </w:t>
      </w:r>
      <w:r w:rsidRPr="00BD7928">
        <w:t>geo-occupationa</w:t>
      </w:r>
      <w:r w:rsidR="009442C1">
        <w:t xml:space="preserve">l </w:t>
      </w:r>
      <w:r w:rsidR="00310999">
        <w:t xml:space="preserve">lens </w:t>
      </w:r>
      <w:r w:rsidRPr="00BD7928">
        <w:t xml:space="preserve">to engage community and better target not only evidence-based needs of </w:t>
      </w:r>
      <w:r w:rsidRPr="00BD7928">
        <w:lastRenderedPageBreak/>
        <w:t xml:space="preserve">various groups within rural populations, but also take account of </w:t>
      </w:r>
      <w:r w:rsidR="009442C1">
        <w:t xml:space="preserve">gender and </w:t>
      </w:r>
      <w:r w:rsidRPr="00BD7928">
        <w:t>behaviour norms and preferences for service access. Embedding responsibility for health in industry organisations fosters sustainability.</w:t>
      </w:r>
    </w:p>
    <w:p w14:paraId="30A8FCBB" w14:textId="77777777" w:rsidR="00F571B7" w:rsidRPr="00BD7928" w:rsidRDefault="00F571B7" w:rsidP="00557AB3">
      <w:pPr>
        <w:spacing w:after="0" w:line="480" w:lineRule="auto"/>
      </w:pPr>
    </w:p>
    <w:p w14:paraId="19864766" w14:textId="77777777" w:rsidR="002B5215" w:rsidRDefault="002B5215" w:rsidP="00557AB3">
      <w:pPr>
        <w:pStyle w:val="Heading2"/>
        <w:spacing w:after="0" w:line="480" w:lineRule="auto"/>
      </w:pPr>
      <w:r>
        <w:t xml:space="preserve">Case </w:t>
      </w:r>
      <w:r w:rsidR="0068012F">
        <w:t>s</w:t>
      </w:r>
      <w:r>
        <w:t>tudy 2</w:t>
      </w:r>
      <w:r w:rsidRPr="00BD7928">
        <w:t xml:space="preserve">: </w:t>
      </w:r>
      <w:r>
        <w:t xml:space="preserve">Planning for </w:t>
      </w:r>
      <w:r w:rsidR="0068012F">
        <w:t>h</w:t>
      </w:r>
      <w:r w:rsidRPr="002B5215">
        <w:t xml:space="preserve">ealthy and </w:t>
      </w:r>
      <w:r w:rsidR="0068012F">
        <w:t>r</w:t>
      </w:r>
      <w:r w:rsidRPr="002B5215">
        <w:t xml:space="preserve">esilient </w:t>
      </w:r>
      <w:r w:rsidR="0068012F">
        <w:t>c</w:t>
      </w:r>
      <w:r w:rsidRPr="002B5215">
        <w:t>ommunities (</w:t>
      </w:r>
      <w:proofErr w:type="spellStart"/>
      <w:r w:rsidRPr="002B5215">
        <w:t>HaRC</w:t>
      </w:r>
      <w:proofErr w:type="spellEnd"/>
      <w:r w:rsidRPr="002B5215">
        <w:t>)</w:t>
      </w:r>
      <w:r w:rsidR="00260E4B">
        <w:t xml:space="preserve"> </w:t>
      </w:r>
    </w:p>
    <w:p w14:paraId="4F6DCF19" w14:textId="77777777" w:rsidR="002B5215" w:rsidRDefault="002B5215" w:rsidP="00557AB3">
      <w:pPr>
        <w:spacing w:after="0" w:line="480" w:lineRule="auto"/>
      </w:pPr>
      <w:r w:rsidRPr="002B5215">
        <w:t>T</w:t>
      </w:r>
      <w:r w:rsidR="0080014B">
        <w:t>he Centre for Rural Health</w:t>
      </w:r>
      <w:r w:rsidRPr="002B5215">
        <w:t xml:space="preserve"> in Tasmania has collaborated with Rural Alive and Well </w:t>
      </w:r>
      <w:proofErr w:type="spellStart"/>
      <w:r w:rsidRPr="002B5215">
        <w:t>Inc</w:t>
      </w:r>
      <w:proofErr w:type="spellEnd"/>
      <w:r w:rsidRPr="002B5215">
        <w:t xml:space="preserve"> (RAW) to identify community based service interventions that enhance community resilience and build the capacity of rural Tasmanian communities to react to challenging life experiences as individuals, families and whole communities. Rural Alive and Well </w:t>
      </w:r>
      <w:proofErr w:type="spellStart"/>
      <w:r w:rsidRPr="002B5215">
        <w:t>Inc</w:t>
      </w:r>
      <w:proofErr w:type="spellEnd"/>
      <w:r w:rsidRPr="002B5215">
        <w:t xml:space="preserve"> is a not-for-profit organisation that has a primary goal of helping individuals, families and the community through mental health issues with a focus on suicide prevention. The underpinning rationale for RAW’s grassroots approach is the acknowledgement that the relationship between people, place and health is fundamental to the success of health interventions within rural and remote communities.      </w:t>
      </w:r>
    </w:p>
    <w:p w14:paraId="02845760" w14:textId="77777777" w:rsidR="00F571B7" w:rsidRPr="002B5215" w:rsidRDefault="00F571B7" w:rsidP="00557AB3">
      <w:pPr>
        <w:spacing w:after="0" w:line="480" w:lineRule="auto"/>
      </w:pPr>
    </w:p>
    <w:p w14:paraId="42AED104" w14:textId="580B46B6" w:rsidR="002B5215" w:rsidRDefault="002B5215" w:rsidP="00557AB3">
      <w:pPr>
        <w:spacing w:after="0" w:line="480" w:lineRule="auto"/>
      </w:pPr>
      <w:r w:rsidRPr="002B5215">
        <w:t>Rural communities are often characterised, as being resilient in the way in which they draw on their underlying social capital to deal with life challenging events however, in areas that experience greater social isolation, the social capital may not be adequ</w:t>
      </w:r>
      <w:r w:rsidR="00163555">
        <w:t>ate to cope with the adversity.</w:t>
      </w:r>
      <w:r w:rsidRPr="002B5215">
        <w:t xml:space="preserve"> The design and delivery of the </w:t>
      </w:r>
      <w:proofErr w:type="spellStart"/>
      <w:r w:rsidRPr="002B5215">
        <w:t>HaRC</w:t>
      </w:r>
      <w:proofErr w:type="spellEnd"/>
      <w:r w:rsidRPr="002B5215">
        <w:t xml:space="preserve"> program focuses on the concepts of community strength, preparedness and resilience within the context of enhancing both individual and collective </w:t>
      </w:r>
      <w:proofErr w:type="gramStart"/>
      <w:r w:rsidRPr="002B5215">
        <w:t>well</w:t>
      </w:r>
      <w:r w:rsidR="003F45A9">
        <w:t>-</w:t>
      </w:r>
      <w:r w:rsidRPr="002B5215">
        <w:t>being</w:t>
      </w:r>
      <w:proofErr w:type="gramEnd"/>
      <w:r w:rsidRPr="002B5215">
        <w:t xml:space="preserve"> within those communities. The program is underpinned by an understanding that rural people construct ‘community’ both as people relating to each other in a shared locality, and the extent to which people relate to each other in cooperative, sharing, supportive, caring, and trusting ways.</w:t>
      </w:r>
    </w:p>
    <w:p w14:paraId="2A18B9F8" w14:textId="77777777" w:rsidR="00F571B7" w:rsidRPr="002B5215" w:rsidRDefault="00F571B7" w:rsidP="00557AB3">
      <w:pPr>
        <w:spacing w:after="0" w:line="480" w:lineRule="auto"/>
      </w:pPr>
    </w:p>
    <w:p w14:paraId="4795659D" w14:textId="77777777" w:rsidR="002B5215" w:rsidRDefault="002B5215" w:rsidP="00557AB3">
      <w:pPr>
        <w:spacing w:after="0" w:line="480" w:lineRule="auto"/>
      </w:pPr>
      <w:proofErr w:type="spellStart"/>
      <w:r w:rsidRPr="002B5215">
        <w:t>HaRC</w:t>
      </w:r>
      <w:proofErr w:type="spellEnd"/>
      <w:r w:rsidRPr="002B5215">
        <w:t xml:space="preserve"> program staff focused on firstly understanding the community’s level of readiness in the design of engagement processes and interventions. Through the adoption of different measures across multiple dimensions including a sense of community, desire for the program, capacity to manage and develop the program, commitment to program goals and outcomes as well as a </w:t>
      </w:r>
      <w:r w:rsidRPr="002B5215">
        <w:lastRenderedPageBreak/>
        <w:t xml:space="preserve">commitment to collaborate with program staff to achieve program goals, the program </w:t>
      </w:r>
      <w:proofErr w:type="gramStart"/>
      <w:r w:rsidRPr="002B5215">
        <w:t>staff were</w:t>
      </w:r>
      <w:proofErr w:type="gramEnd"/>
      <w:r w:rsidRPr="002B5215">
        <w:t xml:space="preserve"> able to match community interventions to the community’s level of readiness.</w:t>
      </w:r>
    </w:p>
    <w:p w14:paraId="11A32C80" w14:textId="77777777" w:rsidR="00F571B7" w:rsidRPr="002B5215" w:rsidRDefault="00F571B7" w:rsidP="00557AB3">
      <w:pPr>
        <w:spacing w:after="0" w:line="480" w:lineRule="auto"/>
      </w:pPr>
    </w:p>
    <w:p w14:paraId="496805BC" w14:textId="0A8C54E0" w:rsidR="002B5215" w:rsidRDefault="002B5215" w:rsidP="00557AB3">
      <w:pPr>
        <w:spacing w:after="0" w:line="480" w:lineRule="auto"/>
      </w:pPr>
      <w:r w:rsidRPr="002B5215">
        <w:t>Pivotal to this approach has been the program</w:t>
      </w:r>
      <w:r w:rsidR="00FF71FF">
        <w:t>’</w:t>
      </w:r>
      <w:r w:rsidRPr="002B5215">
        <w:t>s ability to recruit ‘field workers’ considered to have broad skillsets describe</w:t>
      </w:r>
      <w:r w:rsidR="009F5A1A">
        <w:t>d as a ‘specialist-generalist’.</w:t>
      </w:r>
      <w:r w:rsidRPr="002B5215">
        <w:t xml:space="preserve"> Program staff are flexible and responsive to community needs, which included them being a single point of contact, providing care coordination, assisting the community to become self-reliant, while clearly outlining their role with clients and maintaining boundaries. </w:t>
      </w:r>
    </w:p>
    <w:p w14:paraId="3BEEE6F8" w14:textId="77777777" w:rsidR="00F571B7" w:rsidRPr="002B5215" w:rsidRDefault="00F571B7" w:rsidP="00557AB3">
      <w:pPr>
        <w:spacing w:after="0" w:line="480" w:lineRule="auto"/>
      </w:pPr>
    </w:p>
    <w:p w14:paraId="36B0E500" w14:textId="6736AFAB" w:rsidR="00BD7928" w:rsidRDefault="002B5215" w:rsidP="00557AB3">
      <w:pPr>
        <w:spacing w:after="0" w:line="480" w:lineRule="auto"/>
      </w:pPr>
      <w:r w:rsidRPr="002B5215">
        <w:t xml:space="preserve">The goal of the </w:t>
      </w:r>
      <w:proofErr w:type="spellStart"/>
      <w:r w:rsidRPr="002B5215">
        <w:t>HaRC</w:t>
      </w:r>
      <w:proofErr w:type="spellEnd"/>
      <w:r w:rsidRPr="002B5215">
        <w:t xml:space="preserve"> Program is the development of </w:t>
      </w:r>
      <w:r w:rsidR="00163555">
        <w:t>twenty</w:t>
      </w:r>
      <w:r w:rsidRPr="002B5215">
        <w:t xml:space="preserve"> ‘community owned’ suicide prevention strategies over a three-year period commencing 2016. </w:t>
      </w:r>
      <w:r w:rsidR="009442C1">
        <w:t xml:space="preserve">The evaluation identified </w:t>
      </w:r>
      <w:r w:rsidRPr="002B5215">
        <w:t xml:space="preserve">pre and post program </w:t>
      </w:r>
      <w:r w:rsidR="009442C1">
        <w:t xml:space="preserve">measures </w:t>
      </w:r>
      <w:r w:rsidRPr="002B5215">
        <w:t xml:space="preserve">to </w:t>
      </w:r>
      <w:r w:rsidR="009442C1">
        <w:t xml:space="preserve">help </w:t>
      </w:r>
      <w:r w:rsidRPr="002B5215">
        <w:t>assess the program</w:t>
      </w:r>
      <w:r w:rsidR="00FF71FF">
        <w:t>’</w:t>
      </w:r>
      <w:r w:rsidRPr="002B5215">
        <w:t>s performance using indicators of the effective implementation of rural community health programs. Findings from the evaluation have</w:t>
      </w:r>
      <w:r w:rsidR="009442C1">
        <w:t xml:space="preserve"> </w:t>
      </w:r>
      <w:r w:rsidRPr="002B5215">
        <w:t>been used to refine programming</w:t>
      </w:r>
      <w:r w:rsidR="009442C1">
        <w:t xml:space="preserve"> and planning</w:t>
      </w:r>
      <w:r w:rsidRPr="002B5215">
        <w:t>, including the assessment of new sites and delivery of services.</w:t>
      </w:r>
    </w:p>
    <w:p w14:paraId="571F81F9" w14:textId="77777777" w:rsidR="00F571B7" w:rsidRPr="00BD7928" w:rsidRDefault="00F571B7" w:rsidP="00557AB3">
      <w:pPr>
        <w:spacing w:after="0" w:line="480" w:lineRule="auto"/>
      </w:pPr>
    </w:p>
    <w:p w14:paraId="3B4DF376" w14:textId="49D0EDE4" w:rsidR="00061DE5" w:rsidRDefault="002B5215" w:rsidP="00557AB3">
      <w:pPr>
        <w:pStyle w:val="Heading2"/>
        <w:spacing w:after="0" w:line="480" w:lineRule="auto"/>
      </w:pPr>
      <w:r w:rsidRPr="002B5215">
        <w:t>Case Study 3: Planning for whole of municipality</w:t>
      </w:r>
      <w:r w:rsidR="00810C7E">
        <w:t>/community</w:t>
      </w:r>
      <w:r w:rsidRPr="002B5215">
        <w:t xml:space="preserve"> health and well</w:t>
      </w:r>
      <w:r w:rsidR="00E825B3">
        <w:t>-</w:t>
      </w:r>
      <w:r w:rsidRPr="002B5215">
        <w:t xml:space="preserve">being </w:t>
      </w:r>
    </w:p>
    <w:p w14:paraId="3881D421" w14:textId="75293B32" w:rsidR="001D4217" w:rsidRDefault="001067FA" w:rsidP="00557AB3">
      <w:pPr>
        <w:spacing w:after="0" w:line="480" w:lineRule="auto"/>
      </w:pPr>
      <w:r w:rsidRPr="001067FA">
        <w:t xml:space="preserve">Within Australia and elsewhere, </w:t>
      </w:r>
      <w:r w:rsidR="00282CC8">
        <w:t xml:space="preserve">health planning including strategic responses to </w:t>
      </w:r>
      <w:r w:rsidR="00895841">
        <w:t xml:space="preserve">whole of </w:t>
      </w:r>
      <w:r w:rsidR="00895841" w:rsidRPr="00E712C5">
        <w:t>municipality</w:t>
      </w:r>
      <w:r w:rsidR="007A5A80" w:rsidRPr="00E712C5">
        <w:t xml:space="preserve"> (local government area)</w:t>
      </w:r>
      <w:r w:rsidR="00895841">
        <w:t xml:space="preserve"> health and well</w:t>
      </w:r>
      <w:r w:rsidR="00E825B3">
        <w:t>-</w:t>
      </w:r>
      <w:r w:rsidR="00895841">
        <w:t>being issues</w:t>
      </w:r>
      <w:r w:rsidR="00282CC8">
        <w:t xml:space="preserve"> including </w:t>
      </w:r>
      <w:r w:rsidRPr="001067FA">
        <w:t>s</w:t>
      </w:r>
      <w:r w:rsidR="00282CC8">
        <w:t xml:space="preserve">ervice provision, </w:t>
      </w:r>
      <w:r w:rsidRPr="001067FA">
        <w:t>infrastructure</w:t>
      </w:r>
      <w:r w:rsidR="00895841">
        <w:t xml:space="preserve"> and resource allocation</w:t>
      </w:r>
      <w:r w:rsidRPr="001067FA">
        <w:t xml:space="preserve"> has increasingly </w:t>
      </w:r>
      <w:r>
        <w:t xml:space="preserve">moved from being the remit of </w:t>
      </w:r>
      <w:r w:rsidR="00827401">
        <w:rPr>
          <w:b/>
          <w:bCs/>
        </w:rPr>
        <w:t>only</w:t>
      </w:r>
      <w:r>
        <w:t xml:space="preserve"> federal or state governments and their administration to other levels of government such as mu</w:t>
      </w:r>
      <w:r w:rsidR="00A755ED">
        <w:t xml:space="preserve">nicipal local governments or </w:t>
      </w:r>
      <w:r w:rsidR="00827401" w:rsidRPr="00E712C5">
        <w:t>regional</w:t>
      </w:r>
      <w:r w:rsidR="00827401">
        <w:rPr>
          <w:b/>
          <w:bCs/>
        </w:rPr>
        <w:t xml:space="preserve"> </w:t>
      </w:r>
      <w:r w:rsidR="00A755ED">
        <w:t>authorities.</w:t>
      </w:r>
      <w:r w:rsidR="00282CC8">
        <w:t xml:space="preserve"> </w:t>
      </w:r>
    </w:p>
    <w:p w14:paraId="581679D0" w14:textId="77777777" w:rsidR="00F571B7" w:rsidRDefault="00F571B7" w:rsidP="00557AB3">
      <w:pPr>
        <w:spacing w:after="0" w:line="480" w:lineRule="auto"/>
        <w:rPr>
          <w:b/>
          <w:bCs/>
        </w:rPr>
      </w:pPr>
    </w:p>
    <w:p w14:paraId="67B3BCCB" w14:textId="37FE19EC" w:rsidR="00282CC8" w:rsidRDefault="001D4217" w:rsidP="00557AB3">
      <w:pPr>
        <w:spacing w:after="0" w:line="480" w:lineRule="auto"/>
      </w:pPr>
      <w:r>
        <w:t xml:space="preserve">Increasingly health and </w:t>
      </w:r>
      <w:proofErr w:type="gramStart"/>
      <w:r>
        <w:t>well</w:t>
      </w:r>
      <w:r w:rsidR="003F45A9">
        <w:t>-</w:t>
      </w:r>
      <w:r>
        <w:t>being</w:t>
      </w:r>
      <w:proofErr w:type="gramEnd"/>
      <w:r>
        <w:t xml:space="preserve"> plans for </w:t>
      </w:r>
      <w:r w:rsidR="00EB4027">
        <w:t>regions</w:t>
      </w:r>
      <w:r w:rsidR="00EB4027">
        <w:rPr>
          <w:b/>
          <w:bCs/>
        </w:rPr>
        <w:t>,</w:t>
      </w:r>
      <w:r w:rsidR="00EB4027">
        <w:t xml:space="preserve"> </w:t>
      </w:r>
      <w:r>
        <w:t>municipalities and communities underpinned by community consultation have become accepted practice in Australia</w:t>
      </w:r>
      <w:r w:rsidR="00FF71FF">
        <w:t xml:space="preserve"> </w:t>
      </w:r>
      <w:r>
        <w:t xml:space="preserve">- particularly in rural areas. </w:t>
      </w:r>
      <w:r w:rsidR="00282CC8">
        <w:t xml:space="preserve">This case study </w:t>
      </w:r>
      <w:proofErr w:type="spellStart"/>
      <w:r w:rsidR="00282CC8">
        <w:t>focusses</w:t>
      </w:r>
      <w:proofErr w:type="spellEnd"/>
      <w:r w:rsidR="00282CC8">
        <w:t xml:space="preserve"> on one municipal area within the state of Tasmania to demonstrate how effective health and well</w:t>
      </w:r>
      <w:r w:rsidR="00E825B3">
        <w:t>-</w:t>
      </w:r>
      <w:r w:rsidR="00282CC8">
        <w:t>being planning was undertaken in partnership with the University of Tasmania and other stakeholders.</w:t>
      </w:r>
    </w:p>
    <w:p w14:paraId="714C1214" w14:textId="77777777" w:rsidR="00F571B7" w:rsidRDefault="00F571B7" w:rsidP="00557AB3">
      <w:pPr>
        <w:spacing w:after="0" w:line="480" w:lineRule="auto"/>
        <w:rPr>
          <w:b/>
          <w:bCs/>
        </w:rPr>
      </w:pPr>
    </w:p>
    <w:p w14:paraId="755EAA89" w14:textId="27DDC31E" w:rsidR="00B51461" w:rsidRDefault="00282CC8" w:rsidP="00557AB3">
      <w:pPr>
        <w:spacing w:after="0" w:line="480" w:lineRule="auto"/>
      </w:pPr>
      <w:r>
        <w:lastRenderedPageBreak/>
        <w:t>The West Tamar municipality has a population of approximately twenty thousand people spread across 690 square kilometres and includes both rural and regional townships and communities</w:t>
      </w:r>
      <w:r w:rsidR="007B6991">
        <w:rPr>
          <w:b/>
          <w:bCs/>
        </w:rPr>
        <w:t>,</w:t>
      </w:r>
      <w:r>
        <w:t xml:space="preserve"> </w:t>
      </w:r>
      <w:r w:rsidR="00EB4027" w:rsidRPr="009136FF">
        <w:t>some</w:t>
      </w:r>
      <w:r>
        <w:t xml:space="preserve"> with significant socio-economic disadvantage. Over 18 months, the municipal </w:t>
      </w:r>
      <w:r w:rsidR="007B6991" w:rsidRPr="00E712C5">
        <w:t>government</w:t>
      </w:r>
      <w:r>
        <w:t xml:space="preserve"> worked with the local </w:t>
      </w:r>
      <w:r w:rsidR="00D61B71" w:rsidRPr="009F5A1A">
        <w:t>u</w:t>
      </w:r>
      <w:r>
        <w:t xml:space="preserve">niversity to conduct a whole of community health needs assessment which would inform a number of strategic </w:t>
      </w:r>
      <w:r w:rsidR="00B51461">
        <w:t>areas</w:t>
      </w:r>
      <w:r>
        <w:t xml:space="preserve"> for the authority including sports and recreation</w:t>
      </w:r>
      <w:r w:rsidR="00B51461">
        <w:t xml:space="preserve"> planning</w:t>
      </w:r>
      <w:r>
        <w:t>, youth</w:t>
      </w:r>
      <w:r w:rsidR="00B51461">
        <w:t xml:space="preserve"> and</w:t>
      </w:r>
      <w:r>
        <w:t xml:space="preserve"> positive ageing</w:t>
      </w:r>
      <w:r w:rsidR="00B51461">
        <w:t xml:space="preserve"> strategies</w:t>
      </w:r>
      <w:r>
        <w:t>, infrastructure</w:t>
      </w:r>
      <w:r w:rsidR="00B51461">
        <w:t xml:space="preserve"> allocation and cross sectoral collaborations and </w:t>
      </w:r>
      <w:r>
        <w:t xml:space="preserve">partnerships. </w:t>
      </w:r>
    </w:p>
    <w:p w14:paraId="0E5E6A3A" w14:textId="77777777" w:rsidR="00F571B7" w:rsidRDefault="00F571B7" w:rsidP="00557AB3">
      <w:pPr>
        <w:spacing w:after="0" w:line="480" w:lineRule="auto"/>
        <w:rPr>
          <w:b/>
          <w:bCs/>
        </w:rPr>
      </w:pPr>
    </w:p>
    <w:p w14:paraId="4BC12E19" w14:textId="7D31F6A7" w:rsidR="00B51461" w:rsidRDefault="00282CC8" w:rsidP="00557AB3">
      <w:pPr>
        <w:spacing w:after="0" w:line="480" w:lineRule="auto"/>
      </w:pPr>
      <w:r>
        <w:t xml:space="preserve">Led by a steering group of </w:t>
      </w:r>
      <w:r w:rsidR="00BA0682" w:rsidRPr="00E712C5">
        <w:t>municipal</w:t>
      </w:r>
      <w:r>
        <w:t xml:space="preserve"> staff, university researchers, community representatives and other local stakeholders including industry, business and health professionals</w:t>
      </w:r>
      <w:r w:rsidR="00BA0682">
        <w:rPr>
          <w:b/>
          <w:bCs/>
        </w:rPr>
        <w:t>,</w:t>
      </w:r>
      <w:r>
        <w:t xml:space="preserve"> the West Tamar Community Health and Wellbeing Project consulted with more than five thousand residents of the municipality to identify, understand and prioritise the </w:t>
      </w:r>
      <w:r w:rsidR="00B51461">
        <w:t>health and well</w:t>
      </w:r>
      <w:r w:rsidR="00E825B3">
        <w:t>-</w:t>
      </w:r>
      <w:r w:rsidR="00B51461">
        <w:t>being issues facing the whole municipality at that time and for the next three to five years. This was achieved using a variety of information collecting methods including community forums, focus groups, interviews with stakeholders within and outside the community, a whole of community survey, youth surveys and analysis of existing policies, documents and other relevant information which could inform planning for the future and for expected changes in population such as ageing and new housing development.</w:t>
      </w:r>
    </w:p>
    <w:p w14:paraId="571DE858" w14:textId="77777777" w:rsidR="00F571B7" w:rsidRDefault="00F571B7" w:rsidP="00557AB3">
      <w:pPr>
        <w:spacing w:after="0" w:line="480" w:lineRule="auto"/>
        <w:rPr>
          <w:b/>
          <w:bCs/>
        </w:rPr>
      </w:pPr>
    </w:p>
    <w:p w14:paraId="4D125750" w14:textId="532B2E3E" w:rsidR="001D4217" w:rsidRDefault="00B51461" w:rsidP="00557AB3">
      <w:pPr>
        <w:spacing w:after="0" w:line="480" w:lineRule="auto"/>
      </w:pPr>
      <w:r>
        <w:t xml:space="preserve">Informed </w:t>
      </w:r>
      <w:proofErr w:type="gramStart"/>
      <w:r>
        <w:t>by a social determinants</w:t>
      </w:r>
      <w:proofErr w:type="gramEnd"/>
      <w:r>
        <w:t xml:space="preserve"> of health model, the project took an integrated approach to </w:t>
      </w:r>
      <w:r w:rsidR="001D4217">
        <w:t xml:space="preserve">sustainable </w:t>
      </w:r>
      <w:r>
        <w:t>planning for the health and well</w:t>
      </w:r>
      <w:r w:rsidR="00E825B3">
        <w:t>-</w:t>
      </w:r>
      <w:r>
        <w:t xml:space="preserve">being of the West Tamar. It considered </w:t>
      </w:r>
      <w:r w:rsidR="00162C3B" w:rsidRPr="00E825B3">
        <w:t>six</w:t>
      </w:r>
      <w:r>
        <w:t xml:space="preserve"> key areas through which health and well</w:t>
      </w:r>
      <w:r w:rsidR="00E825B3">
        <w:t>-</w:t>
      </w:r>
      <w:r>
        <w:t xml:space="preserve">being planning for the municipality would be </w:t>
      </w:r>
      <w:r w:rsidR="001D4217">
        <w:t xml:space="preserve">guided and prioritised </w:t>
      </w:r>
      <w:r>
        <w:t xml:space="preserve">including (a) Services and Resources (b) Partnerships and Collaborations (c) </w:t>
      </w:r>
      <w:r w:rsidRPr="001D4217">
        <w:t>Information, Facilitation and Support</w:t>
      </w:r>
      <w:r w:rsidR="001D4217" w:rsidRPr="001D4217">
        <w:t xml:space="preserve"> (d) </w:t>
      </w:r>
      <w:r w:rsidR="001D4217">
        <w:t xml:space="preserve">Inclusion, </w:t>
      </w:r>
      <w:r w:rsidR="001D4217" w:rsidRPr="001D4217">
        <w:t>Engagement and Participation and (e) Infrastructure, Environment and Safety</w:t>
      </w:r>
      <w:r w:rsidR="001D4217">
        <w:t>.</w:t>
      </w:r>
    </w:p>
    <w:p w14:paraId="3167576E" w14:textId="77777777" w:rsidR="00F571B7" w:rsidRDefault="00F571B7" w:rsidP="00557AB3">
      <w:pPr>
        <w:spacing w:after="0" w:line="480" w:lineRule="auto"/>
        <w:rPr>
          <w:b/>
          <w:bCs/>
        </w:rPr>
      </w:pPr>
    </w:p>
    <w:p w14:paraId="53AC76EC" w14:textId="76F872AF" w:rsidR="001D4217" w:rsidRDefault="001D4217" w:rsidP="00557AB3">
      <w:pPr>
        <w:spacing w:after="0" w:line="480" w:lineRule="auto"/>
      </w:pPr>
      <w:r>
        <w:t xml:space="preserve">The project also incorporated a strong capacity building element to how it was conducted, in that university researchers worked with community members and </w:t>
      </w:r>
      <w:r w:rsidR="002207A5">
        <w:t>municipal</w:t>
      </w:r>
      <w:r>
        <w:t xml:space="preserve"> staff to develop understanding, skills and knowledge in the areas of research and collection of information. </w:t>
      </w:r>
      <w:r>
        <w:lastRenderedPageBreak/>
        <w:t>Community member</w:t>
      </w:r>
      <w:r w:rsidR="002207A5">
        <w:t>s</w:t>
      </w:r>
      <w:r>
        <w:t xml:space="preserve"> were immediately involved where determined to be effective</w:t>
      </w:r>
      <w:proofErr w:type="gramStart"/>
      <w:r w:rsidR="00FF71FF">
        <w:t>;</w:t>
      </w:r>
      <w:proofErr w:type="gramEnd"/>
      <w:r w:rsidR="002207A5">
        <w:t xml:space="preserve"> for example,</w:t>
      </w:r>
      <w:r>
        <w:t xml:space="preserve"> in the distribution of surveys </w:t>
      </w:r>
      <w:r w:rsidR="002207A5">
        <w:t xml:space="preserve">to other members of the community </w:t>
      </w:r>
      <w:r>
        <w:t xml:space="preserve">and in the validation of </w:t>
      </w:r>
      <w:r w:rsidR="002207A5">
        <w:t xml:space="preserve">findings from </w:t>
      </w:r>
      <w:r>
        <w:t xml:space="preserve">other </w:t>
      </w:r>
      <w:r w:rsidR="002207A5">
        <w:t>data collection methods</w:t>
      </w:r>
      <w:r>
        <w:t xml:space="preserve"> such as community forums.</w:t>
      </w:r>
      <w:r w:rsidRPr="001D4217">
        <w:t xml:space="preserve"> </w:t>
      </w:r>
      <w:r w:rsidR="00640EEF">
        <w:t>Community participation</w:t>
      </w:r>
      <w:r>
        <w:t xml:space="preserve"> was based on the </w:t>
      </w:r>
      <w:r w:rsidR="00640EEF">
        <w:t xml:space="preserve">project team’s </w:t>
      </w:r>
      <w:r>
        <w:t xml:space="preserve">strong view that in any community only those who live and inhabit </w:t>
      </w:r>
      <w:r w:rsidR="00640EEF">
        <w:t>community</w:t>
      </w:r>
      <w:r>
        <w:t xml:space="preserve"> spaces can truly understand the experiences, priorities, traditions, needs, issues, barriers and enablers that exist there (Whelan</w:t>
      </w:r>
      <w:r w:rsidR="00991CB4">
        <w:t xml:space="preserve"> et al.</w:t>
      </w:r>
      <w:r>
        <w:t xml:space="preserve">, 2009; </w:t>
      </w:r>
      <w:proofErr w:type="spellStart"/>
      <w:r>
        <w:t>Langwell</w:t>
      </w:r>
      <w:proofErr w:type="spellEnd"/>
      <w:r w:rsidR="00991CB4">
        <w:t>,</w:t>
      </w:r>
      <w:r w:rsidR="00661631">
        <w:t xml:space="preserve"> 2009</w:t>
      </w:r>
      <w:r>
        <w:t>).</w:t>
      </w:r>
      <w:r w:rsidRPr="00640EEF">
        <w:t xml:space="preserve"> </w:t>
      </w:r>
    </w:p>
    <w:p w14:paraId="6491DA2B" w14:textId="77777777" w:rsidR="00F571B7" w:rsidRPr="00640EEF" w:rsidRDefault="00F571B7" w:rsidP="00557AB3">
      <w:pPr>
        <w:spacing w:after="0" w:line="480" w:lineRule="auto"/>
      </w:pPr>
    </w:p>
    <w:p w14:paraId="1A5B13ED" w14:textId="77777777" w:rsidR="00BD0471" w:rsidRDefault="00BD0471" w:rsidP="00557AB3">
      <w:pPr>
        <w:pStyle w:val="Heading2"/>
        <w:spacing w:after="0" w:line="480" w:lineRule="auto"/>
      </w:pPr>
      <w:r>
        <w:t>Key messages from case studies</w:t>
      </w:r>
    </w:p>
    <w:p w14:paraId="33183CEC" w14:textId="2941F0BB" w:rsidR="004E3894" w:rsidRDefault="004E3894" w:rsidP="00557AB3">
      <w:pPr>
        <w:spacing w:after="0" w:line="480" w:lineRule="auto"/>
      </w:pPr>
      <w:r>
        <w:t>The three case studies illustrate how a strength</w:t>
      </w:r>
      <w:r w:rsidR="00B5144F">
        <w:t>s</w:t>
      </w:r>
      <w:r>
        <w:t xml:space="preserve">-based approach </w:t>
      </w:r>
      <w:r w:rsidR="00E82221">
        <w:t>works with community and health services to identify assets</w:t>
      </w:r>
      <w:r w:rsidR="00E0513B">
        <w:t xml:space="preserve"> and</w:t>
      </w:r>
      <w:r w:rsidR="00E82221">
        <w:t xml:space="preserve"> community </w:t>
      </w:r>
      <w:proofErr w:type="gramStart"/>
      <w:r w:rsidR="00E82221">
        <w:t>characteristics which</w:t>
      </w:r>
      <w:proofErr w:type="gramEnd"/>
      <w:r w:rsidR="00E82221">
        <w:t xml:space="preserve"> can positively contribute to health and well-being outcomes. Place is a key resource contributing to community strength and resilience, even in the context of a rural industry community such as</w:t>
      </w:r>
      <w:r w:rsidR="00391C7C">
        <w:t xml:space="preserve"> in</w:t>
      </w:r>
      <w:r w:rsidR="00E82221">
        <w:t xml:space="preserve"> the fishing case </w:t>
      </w:r>
      <w:r w:rsidR="00391C7C">
        <w:t>s</w:t>
      </w:r>
      <w:r w:rsidR="00E82221">
        <w:t xml:space="preserve">tudy. </w:t>
      </w:r>
      <w:r>
        <w:t xml:space="preserve"> </w:t>
      </w:r>
    </w:p>
    <w:p w14:paraId="1E140BDA" w14:textId="77777777" w:rsidR="00F571B7" w:rsidRDefault="00F571B7" w:rsidP="00557AB3">
      <w:pPr>
        <w:spacing w:after="0" w:line="480" w:lineRule="auto"/>
      </w:pPr>
    </w:p>
    <w:p w14:paraId="66699B02" w14:textId="6EA061A7" w:rsidR="004E3894" w:rsidRDefault="00CF3BFD" w:rsidP="00557AB3">
      <w:pPr>
        <w:spacing w:after="0" w:line="480" w:lineRule="auto"/>
      </w:pPr>
      <w:r>
        <w:t xml:space="preserve">Both </w:t>
      </w:r>
      <w:r w:rsidR="00895841">
        <w:t xml:space="preserve">the </w:t>
      </w:r>
      <w:r>
        <w:t xml:space="preserve">West Tamar and </w:t>
      </w:r>
      <w:proofErr w:type="spellStart"/>
      <w:r w:rsidR="00895841">
        <w:t>HaRC</w:t>
      </w:r>
      <w:proofErr w:type="spellEnd"/>
      <w:r w:rsidR="00895841">
        <w:t xml:space="preserve"> case studies</w:t>
      </w:r>
      <w:r w:rsidR="00451D21">
        <w:t xml:space="preserve"> drew heavily on the importance of adopting an</w:t>
      </w:r>
      <w:r w:rsidR="004E3894">
        <w:t xml:space="preserve"> integrated and holistic approach to community health based on social determinants of health</w:t>
      </w:r>
      <w:r w:rsidR="00451D21">
        <w:t>, particularly the value of social connectivity and support systems</w:t>
      </w:r>
      <w:r>
        <w:t xml:space="preserve"> in </w:t>
      </w:r>
      <w:proofErr w:type="spellStart"/>
      <w:r>
        <w:t>HaRC</w:t>
      </w:r>
      <w:proofErr w:type="spellEnd"/>
      <w:r w:rsidR="00451D21">
        <w:t>.</w:t>
      </w:r>
      <w:r w:rsidR="004E3894">
        <w:t xml:space="preserve"> Community engagement and evidence gathering</w:t>
      </w:r>
      <w:r w:rsidR="00051427">
        <w:t xml:space="preserve"> was evident in the fishing case study w</w:t>
      </w:r>
      <w:r w:rsidR="00FF71FF">
        <w:t>h</w:t>
      </w:r>
      <w:r w:rsidR="00051427">
        <w:t>ere the industry associations facilitated the engagement of a significant proportion of wild catch fishers national</w:t>
      </w:r>
      <w:r w:rsidR="00CB4102">
        <w:t>l</w:t>
      </w:r>
      <w:r w:rsidR="00051427">
        <w:t>y</w:t>
      </w:r>
      <w:r w:rsidR="0006453E">
        <w:t xml:space="preserve"> in a detailed self-reporting of health status</w:t>
      </w:r>
      <w:r w:rsidR="001F2414">
        <w:t>.</w:t>
      </w:r>
      <w:r w:rsidR="006A57C2">
        <w:t xml:space="preserve"> In </w:t>
      </w:r>
      <w:r w:rsidR="00814F5F">
        <w:t>t</w:t>
      </w:r>
      <w:r w:rsidR="006A57C2">
        <w:t xml:space="preserve">he </w:t>
      </w:r>
      <w:proofErr w:type="spellStart"/>
      <w:r w:rsidR="006A57C2">
        <w:t>HaRC</w:t>
      </w:r>
      <w:proofErr w:type="spellEnd"/>
      <w:r w:rsidR="006A57C2">
        <w:t xml:space="preserve"> study</w:t>
      </w:r>
      <w:r w:rsidR="00FF71FF">
        <w:t>,</w:t>
      </w:r>
      <w:r w:rsidR="00814F5F">
        <w:t xml:space="preserve"> data was collected about community readiness though engaging with the community.</w:t>
      </w:r>
      <w:r>
        <w:t xml:space="preserve"> In the West Tamar, more than six months was dedicated to community consultation and the gathering of evidence to inform the community health plan including the allocation of resources into the future</w:t>
      </w:r>
      <w:r w:rsidR="00F571B7">
        <w:t>.</w:t>
      </w:r>
      <w:r>
        <w:t xml:space="preserve"> </w:t>
      </w:r>
    </w:p>
    <w:p w14:paraId="2D71852E" w14:textId="77777777" w:rsidR="00AB5C24" w:rsidRDefault="00AB5C24" w:rsidP="00557AB3">
      <w:pPr>
        <w:spacing w:after="0" w:line="480" w:lineRule="auto"/>
      </w:pPr>
    </w:p>
    <w:p w14:paraId="0BAF6B3C" w14:textId="63B18CC0" w:rsidR="00AB5C24" w:rsidRDefault="00FA475B" w:rsidP="00557AB3">
      <w:pPr>
        <w:spacing w:after="0" w:line="480" w:lineRule="auto"/>
      </w:pPr>
      <w:r>
        <w:t>A</w:t>
      </w:r>
      <w:r w:rsidR="00AE4B2D">
        <w:t xml:space="preserve"> p</w:t>
      </w:r>
      <w:r w:rsidR="004E3894">
        <w:t>artnership</w:t>
      </w:r>
      <w:r w:rsidR="00AE4B2D">
        <w:t xml:space="preserve"> </w:t>
      </w:r>
      <w:r>
        <w:t>between industry and researchers</w:t>
      </w:r>
      <w:r w:rsidR="00AE4B2D" w:rsidRPr="00AE4B2D">
        <w:t xml:space="preserve"> </w:t>
      </w:r>
      <w:r w:rsidR="00AE4B2D">
        <w:t>over three projects built evidence to refine health planning for fishers</w:t>
      </w:r>
      <w:r>
        <w:t xml:space="preserve">. Significantly, the </w:t>
      </w:r>
      <w:proofErr w:type="spellStart"/>
      <w:r>
        <w:t>HaRC</w:t>
      </w:r>
      <w:proofErr w:type="spellEnd"/>
      <w:r>
        <w:t xml:space="preserve"> project participants identified the need for stronger collaborations and partnerships both between service providers and between community and service providers.</w:t>
      </w:r>
      <w:r w:rsidR="00CF3BFD">
        <w:t xml:space="preserve"> </w:t>
      </w:r>
      <w:r w:rsidR="00016993">
        <w:t>In</w:t>
      </w:r>
      <w:r w:rsidR="00CF3BFD">
        <w:t xml:space="preserve"> West Tamar, the municipal local government understood that they alone could not assess capacity to meet or successfully address or the health and well</w:t>
      </w:r>
      <w:r w:rsidR="00DA7935">
        <w:t>-</w:t>
      </w:r>
      <w:r w:rsidR="00CF3BFD">
        <w:t xml:space="preserve">being priorities and needs of their municipality, and that </w:t>
      </w:r>
      <w:proofErr w:type="spellStart"/>
      <w:r w:rsidR="00CF3BFD">
        <w:t>intersectoral</w:t>
      </w:r>
      <w:proofErr w:type="spellEnd"/>
      <w:r w:rsidR="00CF3BFD">
        <w:t xml:space="preserve"> and interagency </w:t>
      </w:r>
      <w:r w:rsidR="00CF3BFD">
        <w:lastRenderedPageBreak/>
        <w:t>partnerships, including those with health providers and industry were essential to the sustainability of the plan.</w:t>
      </w:r>
      <w:r w:rsidR="00AE4B2D" w:rsidRPr="00AE4B2D">
        <w:t xml:space="preserve"> </w:t>
      </w:r>
    </w:p>
    <w:p w14:paraId="770F10F8" w14:textId="77777777" w:rsidR="00AB5C24" w:rsidRDefault="00AB5C24" w:rsidP="00557AB3">
      <w:pPr>
        <w:spacing w:after="0" w:line="480" w:lineRule="auto"/>
      </w:pPr>
    </w:p>
    <w:p w14:paraId="6BA72227" w14:textId="5E4A976F" w:rsidR="00080CEE" w:rsidRDefault="004E3894" w:rsidP="00557AB3">
      <w:pPr>
        <w:spacing w:after="0" w:line="480" w:lineRule="auto"/>
      </w:pPr>
      <w:r>
        <w:t>Understanding community health and well-being needs, assets, challenges and priorities</w:t>
      </w:r>
      <w:r w:rsidR="00BB2381">
        <w:t xml:space="preserve"> was evident in the fishing and </w:t>
      </w:r>
      <w:proofErr w:type="spellStart"/>
      <w:r w:rsidR="00BB2381">
        <w:t>HaRC</w:t>
      </w:r>
      <w:proofErr w:type="spellEnd"/>
      <w:r w:rsidR="00BB2381">
        <w:t xml:space="preserve"> case studies, but was at the heart of the West Tamar case study.</w:t>
      </w:r>
      <w:r w:rsidR="00CF3BFD">
        <w:t xml:space="preserve"> </w:t>
      </w:r>
      <w:r w:rsidR="00080CEE">
        <w:t>R</w:t>
      </w:r>
      <w:r w:rsidR="00CF3BFD">
        <w:t xml:space="preserve">egardless of context, the community should be a vested partner in the process </w:t>
      </w:r>
      <w:r w:rsidR="00080CEE">
        <w:t>of health planning and if done effectively can not only reflect public interest and experience but can direct agencies to areas where rural health and well</w:t>
      </w:r>
      <w:r w:rsidR="00E825B3">
        <w:t>-</w:t>
      </w:r>
      <w:r w:rsidR="00080CEE">
        <w:t xml:space="preserve">being issues can best be addressed, improved or approached. </w:t>
      </w:r>
      <w:r w:rsidR="00080CEE" w:rsidRPr="00B84E08">
        <w:t xml:space="preserve">Understanding rural place </w:t>
      </w:r>
      <w:r w:rsidR="00080CEE">
        <w:t xml:space="preserve">and </w:t>
      </w:r>
      <w:r w:rsidR="00080CEE" w:rsidRPr="00B84E08">
        <w:t xml:space="preserve">health needs facilitates alignment between health programs and community, </w:t>
      </w:r>
      <w:r w:rsidR="00080CEE">
        <w:t>and helps</w:t>
      </w:r>
      <w:r w:rsidR="00080CEE" w:rsidRPr="00B84E08">
        <w:t xml:space="preserve"> incorporate community resources into health care</w:t>
      </w:r>
      <w:r w:rsidR="00080CEE">
        <w:t xml:space="preserve"> (Kilpatrick</w:t>
      </w:r>
      <w:r w:rsidR="00C44525">
        <w:t>,</w:t>
      </w:r>
      <w:r w:rsidR="00080CEE">
        <w:t xml:space="preserve"> 2009).</w:t>
      </w:r>
      <w:r w:rsidR="00080CEE" w:rsidRPr="00B84E08">
        <w:t xml:space="preserve"> Rural communities, health services and other community organisations need skills in working together to develop effective partnerships that transfer some power from health systems.</w:t>
      </w:r>
      <w:r w:rsidR="00080CEE">
        <w:t xml:space="preserve"> </w:t>
      </w:r>
    </w:p>
    <w:p w14:paraId="180B0371" w14:textId="77777777" w:rsidR="00AB5C24" w:rsidRDefault="00AB5C24" w:rsidP="00557AB3">
      <w:pPr>
        <w:spacing w:after="0" w:line="480" w:lineRule="auto"/>
      </w:pPr>
    </w:p>
    <w:p w14:paraId="05D61035" w14:textId="3C47D314" w:rsidR="004E3894" w:rsidRDefault="004E3894" w:rsidP="00557AB3">
      <w:pPr>
        <w:spacing w:after="0" w:line="480" w:lineRule="auto"/>
      </w:pPr>
      <w:r>
        <w:t>Monitoring and evaluation</w:t>
      </w:r>
      <w:r w:rsidR="001B762C">
        <w:t xml:space="preserve"> must be embedded in planning. In the </w:t>
      </w:r>
      <w:proofErr w:type="spellStart"/>
      <w:r w:rsidR="001B762C">
        <w:t>HaRC</w:t>
      </w:r>
      <w:proofErr w:type="spellEnd"/>
      <w:r w:rsidR="001B762C">
        <w:t xml:space="preserve"> program, research indicated that there needed to be more structuring</w:t>
      </w:r>
      <w:r w:rsidR="0017233D">
        <w:t>,</w:t>
      </w:r>
      <w:r w:rsidR="001B762C">
        <w:t xml:space="preserve"> monitoring and </w:t>
      </w:r>
      <w:r w:rsidR="000A0F14">
        <w:t>evaluation</w:t>
      </w:r>
      <w:r w:rsidR="001B762C">
        <w:t xml:space="preserve"> and as part of program planning.</w:t>
      </w:r>
      <w:r w:rsidR="00DE43C3">
        <w:t xml:space="preserve"> </w:t>
      </w:r>
      <w:r w:rsidR="00080CEE">
        <w:t xml:space="preserve">Evaluation and review was also built into the West Tamar project, and is an integral part of any cycle of health planning or strategic response. </w:t>
      </w:r>
    </w:p>
    <w:p w14:paraId="10A97E32" w14:textId="77777777" w:rsidR="00BD0471" w:rsidRDefault="00BD0471" w:rsidP="00557AB3">
      <w:pPr>
        <w:spacing w:after="0" w:line="480" w:lineRule="auto"/>
      </w:pPr>
    </w:p>
    <w:p w14:paraId="515AFCE3" w14:textId="77777777" w:rsidR="00A63873" w:rsidRDefault="00A63873" w:rsidP="00557AB3">
      <w:pPr>
        <w:pStyle w:val="Heading1"/>
        <w:spacing w:after="0" w:line="480" w:lineRule="auto"/>
      </w:pPr>
      <w:r w:rsidRPr="00BD7928">
        <w:t>Implications</w:t>
      </w:r>
      <w:r w:rsidR="00BD0471">
        <w:t xml:space="preserve"> for rural health </w:t>
      </w:r>
      <w:r w:rsidR="00451D21">
        <w:t>planning</w:t>
      </w:r>
      <w:r w:rsidRPr="00BD7928">
        <w:t xml:space="preserve"> </w:t>
      </w:r>
    </w:p>
    <w:p w14:paraId="46D8CCB4" w14:textId="33A03C3C" w:rsidR="009F5A1A" w:rsidRDefault="00080CEE" w:rsidP="00557AB3">
      <w:pPr>
        <w:spacing w:after="0" w:line="480" w:lineRule="auto"/>
      </w:pPr>
      <w:bookmarkStart w:id="0" w:name="_GoBack"/>
      <w:bookmarkEnd w:id="0"/>
      <w:r>
        <w:t xml:space="preserve">This chapter moves our understanding of </w:t>
      </w:r>
      <w:r w:rsidR="0017233D">
        <w:t xml:space="preserve">rural </w:t>
      </w:r>
      <w:r w:rsidR="00913511">
        <w:t xml:space="preserve">health </w:t>
      </w:r>
      <w:r>
        <w:t xml:space="preserve">planning </w:t>
      </w:r>
      <w:r w:rsidR="00913511">
        <w:t>from</w:t>
      </w:r>
      <w:r>
        <w:t xml:space="preserve"> a desktop and external activity towards an activity which includes </w:t>
      </w:r>
      <w:r w:rsidR="00913511">
        <w:t xml:space="preserve">the </w:t>
      </w:r>
      <w:proofErr w:type="gramStart"/>
      <w:r>
        <w:t>characteristics which underpin how healthy communities</w:t>
      </w:r>
      <w:proofErr w:type="gramEnd"/>
      <w:r>
        <w:t xml:space="preserve"> can be created, strengthened and understood. We outline a number of elements which underpin our work with rural communities</w:t>
      </w:r>
      <w:r w:rsidR="007B4A23">
        <w:t>, particularly</w:t>
      </w:r>
      <w:r>
        <w:t xml:space="preserve"> taking a </w:t>
      </w:r>
      <w:r w:rsidR="00357FBE">
        <w:t xml:space="preserve">strengths-based </w:t>
      </w:r>
      <w:r w:rsidR="009F5A1A">
        <w:t xml:space="preserve">community </w:t>
      </w:r>
      <w:r>
        <w:t>development approach</w:t>
      </w:r>
      <w:r w:rsidR="00357FBE">
        <w:t xml:space="preserve"> that</w:t>
      </w:r>
      <w:r>
        <w:t xml:space="preserve"> embrac</w:t>
      </w:r>
      <w:r w:rsidR="00357FBE">
        <w:t>es</w:t>
      </w:r>
      <w:r>
        <w:t xml:space="preserve"> the importance of </w:t>
      </w:r>
      <w:r w:rsidR="00357FBE">
        <w:t xml:space="preserve">the </w:t>
      </w:r>
      <w:r>
        <w:t xml:space="preserve">knowledge of communities themselves and </w:t>
      </w:r>
      <w:r w:rsidR="00357FBE">
        <w:t>builds partnerships to achieve an</w:t>
      </w:r>
      <w:r w:rsidR="009F5A1A">
        <w:t xml:space="preserve"> integrated and holistic approach to community health based o</w:t>
      </w:r>
      <w:r w:rsidR="00357FBE">
        <w:t>n social determinants of health.</w:t>
      </w:r>
      <w:r w:rsidR="009F5A1A">
        <w:t xml:space="preserve"> </w:t>
      </w:r>
    </w:p>
    <w:p w14:paraId="19828514" w14:textId="77777777" w:rsidR="00AB5C24" w:rsidRDefault="00AB5C24" w:rsidP="00557AB3">
      <w:pPr>
        <w:spacing w:after="0" w:line="480" w:lineRule="auto"/>
      </w:pPr>
    </w:p>
    <w:p w14:paraId="7FD93434" w14:textId="3D994602" w:rsidR="004600FC" w:rsidRDefault="00213227" w:rsidP="00557AB3">
      <w:pPr>
        <w:spacing w:after="0" w:line="480" w:lineRule="auto"/>
      </w:pPr>
      <w:r>
        <w:lastRenderedPageBreak/>
        <w:t>Strength</w:t>
      </w:r>
      <w:r w:rsidR="0033011F">
        <w:t>–</w:t>
      </w:r>
      <w:r w:rsidR="00230AF2" w:rsidRPr="0049470C">
        <w:t>based</w:t>
      </w:r>
      <w:r w:rsidR="0033011F">
        <w:t>, community health development</w:t>
      </w:r>
      <w:r w:rsidR="00230AF2" w:rsidRPr="0049470C">
        <w:t xml:space="preserve"> approaches</w:t>
      </w:r>
      <w:r w:rsidR="00230AF2">
        <w:t xml:space="preserve"> to rural health planning</w:t>
      </w:r>
      <w:r w:rsidR="00230AF2" w:rsidRPr="0049470C">
        <w:t xml:space="preserve"> build relation</w:t>
      </w:r>
      <w:r w:rsidR="00230AF2">
        <w:t xml:space="preserve">ships between community members and between community and health services. </w:t>
      </w:r>
      <w:r w:rsidR="00D7356E" w:rsidRPr="000E1B6F">
        <w:t xml:space="preserve"> </w:t>
      </w:r>
      <w:r w:rsidR="00D7356E">
        <w:t xml:space="preserve">This planning approach </w:t>
      </w:r>
      <w:r w:rsidR="00D7356E" w:rsidRPr="000E1B6F">
        <w:t xml:space="preserve">provides a basis to improve </w:t>
      </w:r>
      <w:r w:rsidR="007B4A23">
        <w:t>service delivery for the local context</w:t>
      </w:r>
      <w:r w:rsidR="00D7356E" w:rsidRPr="000E1B6F">
        <w:t xml:space="preserve">, promote positive aspects, challenge stereotypes, </w:t>
      </w:r>
      <w:r w:rsidR="0017233D">
        <w:t xml:space="preserve">help </w:t>
      </w:r>
      <w:r w:rsidR="00D7356E" w:rsidRPr="000E1B6F">
        <w:t xml:space="preserve">attract </w:t>
      </w:r>
      <w:r w:rsidR="0017233D">
        <w:t xml:space="preserve">and retain </w:t>
      </w:r>
      <w:r w:rsidR="00D7356E" w:rsidRPr="000E1B6F">
        <w:t>staff, encourage local responsibility for health and develop further strategies to ensure optimal health and well-being</w:t>
      </w:r>
      <w:r w:rsidR="00D7356E">
        <w:t>.</w:t>
      </w:r>
      <w:r w:rsidR="00230AF2">
        <w:t xml:space="preserve"> </w:t>
      </w:r>
      <w:r w:rsidR="000561E7">
        <w:t>A strengths-</w:t>
      </w:r>
      <w:r w:rsidR="00D7356E" w:rsidRPr="000E1B6F">
        <w:t xml:space="preserve">based </w:t>
      </w:r>
      <w:r w:rsidR="00D7356E">
        <w:t>approach is</w:t>
      </w:r>
      <w:r w:rsidR="00D7356E" w:rsidRPr="000E1B6F">
        <w:t xml:space="preserve"> </w:t>
      </w:r>
      <w:r w:rsidR="00230AF2">
        <w:t xml:space="preserve">effective because </w:t>
      </w:r>
      <w:r w:rsidR="00D7356E">
        <w:t>it</w:t>
      </w:r>
      <w:r w:rsidR="00230AF2">
        <w:t xml:space="preserve"> take</w:t>
      </w:r>
      <w:r w:rsidR="00D7356E">
        <w:t>s</w:t>
      </w:r>
      <w:r w:rsidR="00230AF2">
        <w:t xml:space="preserve"> account of local rural context</w:t>
      </w:r>
      <w:r>
        <w:t>, including</w:t>
      </w:r>
      <w:r w:rsidR="00230AF2">
        <w:t xml:space="preserve"> geo-spatial</w:t>
      </w:r>
      <w:r w:rsidR="004C4B38">
        <w:t>,</w:t>
      </w:r>
      <w:r w:rsidR="00230AF2">
        <w:t xml:space="preserve"> </w:t>
      </w:r>
      <w:r>
        <w:t xml:space="preserve">occupational </w:t>
      </w:r>
      <w:r w:rsidR="004C4B38">
        <w:t xml:space="preserve">and other demographic </w:t>
      </w:r>
      <w:r>
        <w:t>contexts.</w:t>
      </w:r>
      <w:r w:rsidR="00A13D7E">
        <w:t xml:space="preserve"> The </w:t>
      </w:r>
      <w:r w:rsidR="00EF4C68">
        <w:t>five</w:t>
      </w:r>
      <w:r w:rsidR="00A13D7E">
        <w:t xml:space="preserve"> key attributes </w:t>
      </w:r>
      <w:r w:rsidR="00EF4C68">
        <w:t>listed</w:t>
      </w:r>
      <w:r w:rsidR="00321B7A">
        <w:t xml:space="preserve"> above are essential </w:t>
      </w:r>
      <w:r w:rsidR="004600FC">
        <w:t xml:space="preserve">for successful </w:t>
      </w:r>
      <w:r w:rsidR="00321B7A">
        <w:t>and</w:t>
      </w:r>
      <w:r w:rsidR="004600FC">
        <w:t xml:space="preserve"> effective </w:t>
      </w:r>
      <w:r w:rsidR="00A75637">
        <w:t xml:space="preserve">health </w:t>
      </w:r>
      <w:r w:rsidR="00321B7A">
        <w:t xml:space="preserve">and well-being service </w:t>
      </w:r>
      <w:r w:rsidR="004600FC">
        <w:t>planning</w:t>
      </w:r>
      <w:r w:rsidR="003F457D">
        <w:t xml:space="preserve">, and </w:t>
      </w:r>
      <w:r w:rsidR="00A9579A">
        <w:t xml:space="preserve">crucial for </w:t>
      </w:r>
      <w:r w:rsidR="003F457D">
        <w:t>planning for healthy communities</w:t>
      </w:r>
      <w:r w:rsidR="00321B7A">
        <w:t>.</w:t>
      </w:r>
    </w:p>
    <w:p w14:paraId="3F3821B7" w14:textId="77777777" w:rsidR="00AB5C24" w:rsidRDefault="00AB5C24" w:rsidP="00557AB3">
      <w:pPr>
        <w:spacing w:after="0" w:line="480" w:lineRule="auto"/>
      </w:pPr>
    </w:p>
    <w:p w14:paraId="4AB4A880" w14:textId="77777777" w:rsidR="00803CA8" w:rsidRDefault="00803CA8" w:rsidP="003B40F6">
      <w:pPr>
        <w:spacing w:line="480" w:lineRule="auto"/>
      </w:pPr>
    </w:p>
    <w:p w14:paraId="0FB108D9" w14:textId="77777777" w:rsidR="00557AE2" w:rsidRDefault="00557AE2" w:rsidP="003B40F6">
      <w:pPr>
        <w:pStyle w:val="Heading1"/>
        <w:spacing w:line="480" w:lineRule="auto"/>
      </w:pPr>
      <w:r w:rsidRPr="00BD7928">
        <w:t>References</w:t>
      </w:r>
      <w:r w:rsidR="00706D8A">
        <w:t xml:space="preserve"> </w:t>
      </w:r>
    </w:p>
    <w:p w14:paraId="15AD3836" w14:textId="77777777" w:rsidR="00640004" w:rsidRDefault="00640004" w:rsidP="003B40F6">
      <w:pPr>
        <w:spacing w:line="480" w:lineRule="auto"/>
      </w:pPr>
      <w:r w:rsidRPr="00AE322D">
        <w:t>Auckland, S</w:t>
      </w:r>
      <w:r w:rsidR="00086BE2">
        <w:t>.</w:t>
      </w:r>
      <w:r w:rsidR="00BB6EA2">
        <w:t>,</w:t>
      </w:r>
      <w:r w:rsidR="001C447A">
        <w:t xml:space="preserve"> Whelan, J</w:t>
      </w:r>
      <w:r w:rsidR="00086BE2">
        <w:t>.</w:t>
      </w:r>
      <w:r w:rsidR="00BB6EA2">
        <w:t>,</w:t>
      </w:r>
      <w:r w:rsidR="001C447A">
        <w:t xml:space="preserve"> Barrett, A</w:t>
      </w:r>
      <w:r w:rsidR="00086BE2">
        <w:t>.</w:t>
      </w:r>
      <w:r w:rsidR="001C447A">
        <w:t xml:space="preserve"> and </w:t>
      </w:r>
      <w:proofErr w:type="spellStart"/>
      <w:r w:rsidR="001C447A">
        <w:t>Skellern</w:t>
      </w:r>
      <w:proofErr w:type="spellEnd"/>
      <w:r w:rsidR="001C447A">
        <w:t>, K</w:t>
      </w:r>
      <w:r w:rsidR="00086BE2">
        <w:t>.</w:t>
      </w:r>
      <w:r w:rsidRPr="00AE322D">
        <w:t xml:space="preserve"> </w:t>
      </w:r>
      <w:r w:rsidR="00086BE2" w:rsidRPr="00AE322D">
        <w:t>(2007</w:t>
      </w:r>
      <w:r w:rsidR="00086BE2">
        <w:t>)</w:t>
      </w:r>
      <w:r w:rsidR="00086BE2" w:rsidRPr="00AE322D">
        <w:t xml:space="preserve"> </w:t>
      </w:r>
      <w:r w:rsidRPr="00AE322D">
        <w:t xml:space="preserve">“Mapping </w:t>
      </w:r>
      <w:r w:rsidR="00060A20" w:rsidRPr="00AE322D">
        <w:t>community health needs and priorities</w:t>
      </w:r>
      <w:r w:rsidRPr="00AE322D">
        <w:t xml:space="preserve">: Reflections on </w:t>
      </w:r>
      <w:r w:rsidR="00060A20">
        <w:t>c</w:t>
      </w:r>
      <w:r w:rsidRPr="00AE322D">
        <w:t xml:space="preserve">ommunity </w:t>
      </w:r>
      <w:r w:rsidR="00060A20">
        <w:t>e</w:t>
      </w:r>
      <w:r w:rsidRPr="00AE322D">
        <w:t>ngagement from the Tasmanian University Department of Rural Health and the Meander Valley Community</w:t>
      </w:r>
      <w:r w:rsidR="003A0960" w:rsidRPr="00AE322D">
        <w:t>,</w:t>
      </w:r>
      <w:r w:rsidRPr="00AE322D">
        <w:t>” </w:t>
      </w:r>
      <w:r w:rsidRPr="00086BE2">
        <w:rPr>
          <w:u w:val="single"/>
        </w:rPr>
        <w:t>Australian Journal of University Community Engagement</w:t>
      </w:r>
      <w:r w:rsidRPr="00AE322D">
        <w:t> </w:t>
      </w:r>
      <w:r w:rsidRPr="008D3761">
        <w:t>2</w:t>
      </w:r>
      <w:r w:rsidR="002C756D">
        <w:t>(1</w:t>
      </w:r>
      <w:r w:rsidRPr="00AE322D">
        <w:t>)</w:t>
      </w:r>
      <w:r w:rsidR="00086BE2">
        <w:t>,</w:t>
      </w:r>
      <w:r w:rsidRPr="00AE322D">
        <w:t xml:space="preserve"> 237-245. </w:t>
      </w:r>
    </w:p>
    <w:p w14:paraId="31523F1E" w14:textId="77777777" w:rsidR="00620E9D" w:rsidRDefault="00620E9D" w:rsidP="003B40F6">
      <w:pPr>
        <w:spacing w:line="480" w:lineRule="auto"/>
      </w:pPr>
      <w:r w:rsidRPr="00284198">
        <w:t>Australian Heal</w:t>
      </w:r>
      <w:r>
        <w:t>th Ministers’ Advisory Council</w:t>
      </w:r>
      <w:r w:rsidRPr="00284198">
        <w:t xml:space="preserve"> Rural Health Standing Committee</w:t>
      </w:r>
      <w:r>
        <w:t xml:space="preserve"> (2011) </w:t>
      </w:r>
      <w:r w:rsidRPr="00086BE2">
        <w:rPr>
          <w:u w:val="single"/>
        </w:rPr>
        <w:t>National Strategic Framework for Rural and Remote Health</w:t>
      </w:r>
      <w:r>
        <w:t xml:space="preserve">, </w:t>
      </w:r>
      <w:r w:rsidR="003A0960">
        <w:t>Canberra: Commonwealth of Australia</w:t>
      </w:r>
      <w:r>
        <w:t>. Retrieved 5</w:t>
      </w:r>
      <w:r w:rsidRPr="008E3E03">
        <w:rPr>
          <w:vertAlign w:val="superscript"/>
        </w:rPr>
        <w:t>th</w:t>
      </w:r>
      <w:r>
        <w:t xml:space="preserve"> December 2017 from </w:t>
      </w:r>
      <w:hyperlink r:id="rId9" w:history="1">
        <w:r w:rsidRPr="00343EA9">
          <w:rPr>
            <w:rStyle w:val="Hyperlink"/>
          </w:rPr>
          <w:t>http://www.health.gov.au/internet/main/publishing.nsf/Content/national-strategic-framework-rural-remote-health</w:t>
        </w:r>
      </w:hyperlink>
    </w:p>
    <w:p w14:paraId="3B4C3106" w14:textId="77777777" w:rsidR="002B5215" w:rsidRPr="002B5215" w:rsidRDefault="002B5215" w:rsidP="003B40F6">
      <w:pPr>
        <w:spacing w:line="480" w:lineRule="auto"/>
      </w:pPr>
      <w:proofErr w:type="gramStart"/>
      <w:r w:rsidRPr="002B5215">
        <w:t>Australian Institu</w:t>
      </w:r>
      <w:r w:rsidR="003A0960">
        <w:t>te of Health and Welfare (2017)</w:t>
      </w:r>
      <w:r w:rsidRPr="002B5215">
        <w:t xml:space="preserve"> </w:t>
      </w:r>
      <w:r w:rsidRPr="003A0960">
        <w:rPr>
          <w:u w:val="single"/>
        </w:rPr>
        <w:t xml:space="preserve">Rural </w:t>
      </w:r>
      <w:r w:rsidR="00660266">
        <w:rPr>
          <w:u w:val="single"/>
        </w:rPr>
        <w:t>and</w:t>
      </w:r>
      <w:r w:rsidRPr="003A0960">
        <w:rPr>
          <w:u w:val="single"/>
        </w:rPr>
        <w:t xml:space="preserve"> Remote Health</w:t>
      </w:r>
      <w:r w:rsidRPr="002B5215">
        <w:t>.</w:t>
      </w:r>
      <w:proofErr w:type="gramEnd"/>
      <w:r w:rsidRPr="002B5215">
        <w:t xml:space="preserve"> Web Report. Retrieved 11th September 2017 from </w:t>
      </w:r>
      <w:hyperlink r:id="rId10" w:history="1">
        <w:r w:rsidRPr="002B5215">
          <w:t>https://www.aihw.gov.au/reports/rural-health/rural-remote-health/contents/rural-health</w:t>
        </w:r>
      </w:hyperlink>
      <w:r w:rsidR="003A0960">
        <w:t xml:space="preserve"> </w:t>
      </w:r>
      <w:r w:rsidRPr="002B5215">
        <w:t xml:space="preserve"> </w:t>
      </w:r>
    </w:p>
    <w:p w14:paraId="750185D3" w14:textId="77777777" w:rsidR="002B5215" w:rsidRPr="002B5215" w:rsidRDefault="002B5215" w:rsidP="003B40F6">
      <w:pPr>
        <w:spacing w:line="480" w:lineRule="auto"/>
      </w:pPr>
      <w:proofErr w:type="gramStart"/>
      <w:r w:rsidRPr="002B5215">
        <w:t xml:space="preserve">Beard, J., </w:t>
      </w:r>
      <w:proofErr w:type="spellStart"/>
      <w:r w:rsidRPr="002B5215">
        <w:t>Tomaska</w:t>
      </w:r>
      <w:proofErr w:type="spellEnd"/>
      <w:r w:rsidRPr="002B5215">
        <w:t xml:space="preserve">, N., Earnest, A., </w:t>
      </w:r>
      <w:proofErr w:type="spellStart"/>
      <w:r w:rsidRPr="002B5215">
        <w:t>Summe</w:t>
      </w:r>
      <w:r w:rsidR="00E86587">
        <w:t>rhayes</w:t>
      </w:r>
      <w:proofErr w:type="spellEnd"/>
      <w:r w:rsidR="00E86587">
        <w:t xml:space="preserve">, R., </w:t>
      </w:r>
      <w:r w:rsidR="008938CC">
        <w:t>and</w:t>
      </w:r>
      <w:r w:rsidR="00E86587">
        <w:t xml:space="preserve"> Morgan, G. (2009)</w:t>
      </w:r>
      <w:r w:rsidRPr="002B5215">
        <w:t xml:space="preserve"> </w:t>
      </w:r>
      <w:r w:rsidR="00E86587">
        <w:t>“</w:t>
      </w:r>
      <w:r w:rsidRPr="002B5215">
        <w:t>Influence of socioeconomic and cultural factors on rural health</w:t>
      </w:r>
      <w:r w:rsidR="00E86587">
        <w:t>,”</w:t>
      </w:r>
      <w:r w:rsidRPr="002B5215">
        <w:t xml:space="preserve"> </w:t>
      </w:r>
      <w:r w:rsidRPr="00E86587">
        <w:rPr>
          <w:u w:val="single"/>
        </w:rPr>
        <w:t>Australian Journal of Rural Health</w:t>
      </w:r>
      <w:r w:rsidRPr="002B5215">
        <w:t>, 17(1), 10-15.</w:t>
      </w:r>
      <w:proofErr w:type="gramEnd"/>
    </w:p>
    <w:p w14:paraId="5677D6E7" w14:textId="6060AE45" w:rsidR="002B5215" w:rsidRDefault="00F64C3E" w:rsidP="003B40F6">
      <w:pPr>
        <w:spacing w:line="480" w:lineRule="auto"/>
      </w:pPr>
      <w:r>
        <w:lastRenderedPageBreak/>
        <w:t>Bourke, L., Humphreys, J.</w:t>
      </w:r>
      <w:r w:rsidR="002B5215" w:rsidRPr="002B5215">
        <w:t xml:space="preserve">, </w:t>
      </w:r>
      <w:proofErr w:type="spellStart"/>
      <w:r w:rsidR="002B5215" w:rsidRPr="002B5215">
        <w:t>Wak</w:t>
      </w:r>
      <w:r w:rsidR="00284198">
        <w:t>erman</w:t>
      </w:r>
      <w:proofErr w:type="spellEnd"/>
      <w:r w:rsidR="00284198">
        <w:t>, J. and Taylor, J. (2010)</w:t>
      </w:r>
      <w:r w:rsidR="002B5215" w:rsidRPr="002B5215">
        <w:t xml:space="preserve"> </w:t>
      </w:r>
      <w:r w:rsidR="008938CC">
        <w:t>“</w:t>
      </w:r>
      <w:r w:rsidR="002B5215" w:rsidRPr="002B5215">
        <w:t>From ‘problem-describing’ to ‘problem-solving’: Challenging the ‘deficit’ view of remote and rural health</w:t>
      </w:r>
      <w:r w:rsidR="008938CC">
        <w:t>,”</w:t>
      </w:r>
      <w:r w:rsidR="002B5215" w:rsidRPr="002B5215">
        <w:t xml:space="preserve"> </w:t>
      </w:r>
      <w:r w:rsidR="002B5215" w:rsidRPr="008938CC">
        <w:rPr>
          <w:u w:val="single"/>
        </w:rPr>
        <w:t>Australian Journal of Rural Health</w:t>
      </w:r>
      <w:r w:rsidR="002B5215" w:rsidRPr="002B5215">
        <w:t>, 18</w:t>
      </w:r>
      <w:r w:rsidR="008938CC">
        <w:t>,</w:t>
      </w:r>
      <w:r w:rsidR="002B5215" w:rsidRPr="002B5215">
        <w:t xml:space="preserve"> 205–209. </w:t>
      </w:r>
      <w:proofErr w:type="gramStart"/>
      <w:r w:rsidR="002B5215" w:rsidRPr="002B5215">
        <w:t>doi:10.1111</w:t>
      </w:r>
      <w:proofErr w:type="gramEnd"/>
      <w:r w:rsidR="002B5215" w:rsidRPr="002B5215">
        <w:t>/j.1440-1584.2010.01155.x</w:t>
      </w:r>
    </w:p>
    <w:p w14:paraId="31E880C7" w14:textId="77777777" w:rsidR="00661631" w:rsidRDefault="00661631" w:rsidP="003B40F6">
      <w:pPr>
        <w:spacing w:line="480" w:lineRule="auto"/>
        <w:rPr>
          <w:lang w:val="en-US"/>
        </w:rPr>
      </w:pPr>
      <w:r w:rsidRPr="00661631">
        <w:rPr>
          <w:lang w:val="en-US"/>
        </w:rPr>
        <w:t>Department of Health (2012) National Strategic Framework for Rural and Remote Health (Commonwealth of Australia, Canberra)</w:t>
      </w:r>
    </w:p>
    <w:p w14:paraId="4E7C4172" w14:textId="3FA12A42" w:rsidR="00620E9D" w:rsidRDefault="008938CC" w:rsidP="003B40F6">
      <w:pPr>
        <w:spacing w:line="480" w:lineRule="auto"/>
      </w:pPr>
      <w:r>
        <w:t>Dixon, J. and Welch, N. (2000)</w:t>
      </w:r>
      <w:r w:rsidR="00620E9D" w:rsidRPr="00620E9D">
        <w:t xml:space="preserve"> </w:t>
      </w:r>
      <w:r>
        <w:t>“</w:t>
      </w:r>
      <w:r w:rsidR="00620E9D" w:rsidRPr="00620E9D">
        <w:t xml:space="preserve">Researching the rural–metropolitan health differential using the </w:t>
      </w:r>
      <w:r>
        <w:t>‘social determinants of health’,”</w:t>
      </w:r>
      <w:r w:rsidR="00620E9D" w:rsidRPr="00620E9D">
        <w:t xml:space="preserve"> </w:t>
      </w:r>
      <w:r w:rsidR="00620E9D" w:rsidRPr="008938CC">
        <w:rPr>
          <w:u w:val="single"/>
        </w:rPr>
        <w:t>Australian Journal of Rural Health</w:t>
      </w:r>
      <w:r w:rsidR="00620E9D" w:rsidRPr="00620E9D">
        <w:t xml:space="preserve"> 8(5), 254-260.</w:t>
      </w:r>
    </w:p>
    <w:p w14:paraId="0FE790FA" w14:textId="77777777" w:rsidR="00E37720" w:rsidRDefault="00E37720" w:rsidP="003B40F6">
      <w:pPr>
        <w:spacing w:line="480" w:lineRule="auto"/>
      </w:pPr>
      <w:r w:rsidRPr="00BD7928">
        <w:t>Fisheries Resea</w:t>
      </w:r>
      <w:r>
        <w:t>rch and Development Corporation</w:t>
      </w:r>
      <w:r w:rsidRPr="00BD7928">
        <w:t xml:space="preserve"> </w:t>
      </w:r>
      <w:r>
        <w:t>(</w:t>
      </w:r>
      <w:r w:rsidRPr="00BD7928">
        <w:t>2017</w:t>
      </w:r>
      <w:r>
        <w:t>)</w:t>
      </w:r>
      <w:r w:rsidRPr="00BD7928">
        <w:t xml:space="preserve"> </w:t>
      </w:r>
      <w:r w:rsidR="00016C45" w:rsidRPr="00016C45">
        <w:t>Social Sciences Economics Research Coordination Program: Sustainable Fishing Families: Developing industry human capital through health, wellbeing, safety and resilience</w:t>
      </w:r>
      <w:r w:rsidR="00016C45">
        <w:t>. Retrieved 5</w:t>
      </w:r>
      <w:r w:rsidR="00016C45" w:rsidRPr="00016C45">
        <w:rPr>
          <w:vertAlign w:val="superscript"/>
        </w:rPr>
        <w:t>th</w:t>
      </w:r>
      <w:r w:rsidR="00016C45">
        <w:t xml:space="preserve"> December 2017 from </w:t>
      </w:r>
      <w:hyperlink r:id="rId11" w:history="1">
        <w:r w:rsidR="00016C45" w:rsidRPr="00EA0F10">
          <w:rPr>
            <w:rStyle w:val="Hyperlink"/>
          </w:rPr>
          <w:t>http://frdc.com.au/project?id=2960</w:t>
        </w:r>
      </w:hyperlink>
      <w:r w:rsidR="00016C45">
        <w:t xml:space="preserve"> </w:t>
      </w:r>
    </w:p>
    <w:p w14:paraId="41B18323" w14:textId="77777777" w:rsidR="00EC4DC1" w:rsidRDefault="008938CC" w:rsidP="003B40F6">
      <w:pPr>
        <w:spacing w:line="480" w:lineRule="auto"/>
      </w:pPr>
      <w:r>
        <w:t xml:space="preserve">Flora, C.  Flora, J. and </w:t>
      </w:r>
      <w:proofErr w:type="spellStart"/>
      <w:r>
        <w:t>Gasteyer</w:t>
      </w:r>
      <w:proofErr w:type="spellEnd"/>
      <w:r>
        <w:t>, S. (2015)</w:t>
      </w:r>
      <w:r w:rsidR="00EC4DC1" w:rsidRPr="00F73F0A">
        <w:t xml:space="preserve"> </w:t>
      </w:r>
      <w:r w:rsidR="00EC4DC1" w:rsidRPr="008938CC">
        <w:rPr>
          <w:u w:val="single"/>
        </w:rPr>
        <w:t>Rural communities: Legacy+ change</w:t>
      </w:r>
      <w:r w:rsidR="00EC4DC1">
        <w:t>, 5</w:t>
      </w:r>
      <w:r w:rsidR="00EC4DC1" w:rsidRPr="000D61FC">
        <w:rPr>
          <w:vertAlign w:val="superscript"/>
        </w:rPr>
        <w:t>th</w:t>
      </w:r>
      <w:r w:rsidR="00EC4DC1">
        <w:t xml:space="preserve"> ed.</w:t>
      </w:r>
      <w:r>
        <w:t>,</w:t>
      </w:r>
      <w:r w:rsidR="00EC4DC1">
        <w:t xml:space="preserve"> </w:t>
      </w:r>
      <w:r>
        <w:t>Boulder, CO: Westview Press</w:t>
      </w:r>
      <w:r w:rsidR="00EC4DC1">
        <w:t>.</w:t>
      </w:r>
    </w:p>
    <w:p w14:paraId="5200B805" w14:textId="42C9901B" w:rsidR="00C86B3E" w:rsidRDefault="00C86B3E" w:rsidP="003B40F6">
      <w:pPr>
        <w:spacing w:line="480" w:lineRule="auto"/>
        <w:rPr>
          <w:rFonts w:cstheme="minorHAnsi"/>
          <w:bCs/>
          <w:kern w:val="36"/>
          <w:lang w:eastAsia="en-AU"/>
        </w:rPr>
      </w:pPr>
      <w:proofErr w:type="spellStart"/>
      <w:r w:rsidRPr="006575EC">
        <w:rPr>
          <w:lang w:eastAsia="en-AU"/>
        </w:rPr>
        <w:t>Giacaman</w:t>
      </w:r>
      <w:proofErr w:type="spellEnd"/>
      <w:r w:rsidRPr="00D8516F">
        <w:rPr>
          <w:lang w:eastAsia="en-AU"/>
        </w:rPr>
        <w:t>, R.,</w:t>
      </w:r>
      <w:r w:rsidRPr="006575EC">
        <w:rPr>
          <w:lang w:eastAsia="en-AU"/>
        </w:rPr>
        <w:t xml:space="preserve"> </w:t>
      </w:r>
      <w:proofErr w:type="spellStart"/>
      <w:r w:rsidRPr="006575EC">
        <w:rPr>
          <w:lang w:eastAsia="en-AU"/>
        </w:rPr>
        <w:t>Khatib</w:t>
      </w:r>
      <w:proofErr w:type="spellEnd"/>
      <w:r w:rsidRPr="006575EC">
        <w:rPr>
          <w:lang w:eastAsia="en-AU"/>
        </w:rPr>
        <w:t>,</w:t>
      </w:r>
      <w:r w:rsidR="006A2EE7">
        <w:rPr>
          <w:lang w:eastAsia="en-AU"/>
        </w:rPr>
        <w:t xml:space="preserve"> R</w:t>
      </w:r>
      <w:r w:rsidRPr="00D8516F">
        <w:rPr>
          <w:lang w:eastAsia="en-AU"/>
        </w:rPr>
        <w:t>.</w:t>
      </w:r>
      <w:r w:rsidR="006A2EE7">
        <w:rPr>
          <w:lang w:eastAsia="en-AU"/>
        </w:rPr>
        <w:t xml:space="preserve">, </w:t>
      </w:r>
      <w:proofErr w:type="spellStart"/>
      <w:r w:rsidRPr="006575EC">
        <w:rPr>
          <w:lang w:eastAsia="en-AU"/>
        </w:rPr>
        <w:t>Shabaneh</w:t>
      </w:r>
      <w:proofErr w:type="spellEnd"/>
      <w:r w:rsidR="006A2EE7">
        <w:rPr>
          <w:lang w:eastAsia="en-AU"/>
        </w:rPr>
        <w:t>, L</w:t>
      </w:r>
      <w:r w:rsidRPr="00D8516F">
        <w:rPr>
          <w:lang w:eastAsia="en-AU"/>
        </w:rPr>
        <w:t>.</w:t>
      </w:r>
      <w:r w:rsidR="006A2EE7">
        <w:rPr>
          <w:lang w:eastAsia="en-AU"/>
        </w:rPr>
        <w:t xml:space="preserve">, </w:t>
      </w:r>
      <w:proofErr w:type="spellStart"/>
      <w:r w:rsidRPr="006575EC">
        <w:rPr>
          <w:lang w:eastAsia="en-AU"/>
        </w:rPr>
        <w:t>Ramlawi</w:t>
      </w:r>
      <w:proofErr w:type="spellEnd"/>
      <w:r w:rsidR="006A2EE7">
        <w:rPr>
          <w:lang w:eastAsia="en-AU"/>
        </w:rPr>
        <w:t xml:space="preserve">, S., </w:t>
      </w:r>
      <w:proofErr w:type="spellStart"/>
      <w:r w:rsidRPr="006575EC">
        <w:rPr>
          <w:lang w:eastAsia="en-AU"/>
        </w:rPr>
        <w:t>Sabri</w:t>
      </w:r>
      <w:proofErr w:type="spellEnd"/>
      <w:r w:rsidR="006A2EE7">
        <w:rPr>
          <w:lang w:eastAsia="en-AU"/>
        </w:rPr>
        <w:t xml:space="preserve">, B., </w:t>
      </w:r>
      <w:proofErr w:type="spellStart"/>
      <w:r w:rsidRPr="006575EC">
        <w:rPr>
          <w:lang w:eastAsia="en-AU"/>
        </w:rPr>
        <w:t>Sabatinelli</w:t>
      </w:r>
      <w:proofErr w:type="spellEnd"/>
      <w:r w:rsidR="006A2EE7">
        <w:rPr>
          <w:lang w:eastAsia="en-AU"/>
        </w:rPr>
        <w:t xml:space="preserve">, G., </w:t>
      </w:r>
      <w:proofErr w:type="spellStart"/>
      <w:r w:rsidRPr="006575EC">
        <w:rPr>
          <w:lang w:eastAsia="en-AU"/>
        </w:rPr>
        <w:t>Khawaja</w:t>
      </w:r>
      <w:proofErr w:type="spellEnd"/>
      <w:r w:rsidRPr="006575EC">
        <w:rPr>
          <w:lang w:eastAsia="en-AU"/>
        </w:rPr>
        <w:t>,</w:t>
      </w:r>
      <w:r w:rsidR="006A2EE7">
        <w:rPr>
          <w:lang w:eastAsia="en-AU"/>
        </w:rPr>
        <w:t xml:space="preserve"> M</w:t>
      </w:r>
      <w:r w:rsidRPr="00D8516F">
        <w:rPr>
          <w:lang w:eastAsia="en-AU"/>
        </w:rPr>
        <w:t xml:space="preserve">. </w:t>
      </w:r>
      <w:r w:rsidR="006A2EE7">
        <w:rPr>
          <w:lang w:eastAsia="en-AU"/>
        </w:rPr>
        <w:t xml:space="preserve">and </w:t>
      </w:r>
      <w:r w:rsidRPr="006575EC">
        <w:rPr>
          <w:lang w:eastAsia="en-AU"/>
        </w:rPr>
        <w:t>Laurance</w:t>
      </w:r>
      <w:r w:rsidR="006A2EE7">
        <w:rPr>
          <w:lang w:eastAsia="en-AU"/>
        </w:rPr>
        <w:t>, T. (2009) “</w:t>
      </w:r>
      <w:r w:rsidRPr="00D8516F">
        <w:rPr>
          <w:lang w:eastAsia="en-AU"/>
        </w:rPr>
        <w:t xml:space="preserve">What is Health? </w:t>
      </w:r>
      <w:proofErr w:type="gramStart"/>
      <w:r w:rsidRPr="00D8516F">
        <w:rPr>
          <w:lang w:eastAsia="en-AU"/>
        </w:rPr>
        <w:t>The ability to adapt</w:t>
      </w:r>
      <w:r w:rsidR="00756EC2">
        <w:rPr>
          <w:lang w:eastAsia="en-AU"/>
        </w:rPr>
        <w:t>,</w:t>
      </w:r>
      <w:r w:rsidR="006A2EE7">
        <w:rPr>
          <w:lang w:eastAsia="en-AU"/>
        </w:rPr>
        <w:t>”</w:t>
      </w:r>
      <w:r w:rsidRPr="00D8516F">
        <w:rPr>
          <w:lang w:eastAsia="en-AU"/>
        </w:rPr>
        <w:t xml:space="preserve"> </w:t>
      </w:r>
      <w:r w:rsidRPr="006A2EE7">
        <w:rPr>
          <w:iCs/>
          <w:u w:val="single"/>
          <w:lang w:eastAsia="en-AU"/>
        </w:rPr>
        <w:t>The Lancet</w:t>
      </w:r>
      <w:r w:rsidR="006A2EE7">
        <w:rPr>
          <w:lang w:eastAsia="en-AU"/>
        </w:rPr>
        <w:t xml:space="preserve"> </w:t>
      </w:r>
      <w:r w:rsidR="006A2EE7">
        <w:rPr>
          <w:rFonts w:cstheme="minorHAnsi"/>
          <w:bCs/>
          <w:kern w:val="36"/>
          <w:lang w:eastAsia="en-AU"/>
        </w:rPr>
        <w:t xml:space="preserve">373(9666), </w:t>
      </w:r>
      <w:r w:rsidRPr="00D8516F">
        <w:rPr>
          <w:rFonts w:cstheme="minorHAnsi"/>
          <w:bCs/>
          <w:kern w:val="36"/>
          <w:lang w:eastAsia="en-AU"/>
        </w:rPr>
        <w:t>781-866</w:t>
      </w:r>
      <w:r w:rsidR="00F97D2C">
        <w:rPr>
          <w:rFonts w:cstheme="minorHAnsi"/>
          <w:bCs/>
          <w:kern w:val="36"/>
          <w:lang w:eastAsia="en-AU"/>
        </w:rPr>
        <w:t>.</w:t>
      </w:r>
      <w:proofErr w:type="gramEnd"/>
    </w:p>
    <w:p w14:paraId="00A07DA6" w14:textId="18413D8A" w:rsidR="00273442" w:rsidRDefault="009D0E3A" w:rsidP="003B40F6">
      <w:pPr>
        <w:spacing w:line="480" w:lineRule="auto"/>
      </w:pPr>
      <w:r>
        <w:t>Hancock, T.</w:t>
      </w:r>
      <w:r w:rsidR="00273442">
        <w:t xml:space="preserve"> and </w:t>
      </w:r>
      <w:proofErr w:type="spellStart"/>
      <w:r w:rsidR="00273442">
        <w:t>Minkler</w:t>
      </w:r>
      <w:proofErr w:type="spellEnd"/>
      <w:r w:rsidR="00273442">
        <w:t>, M</w:t>
      </w:r>
      <w:r w:rsidR="00AB0548">
        <w:t>.</w:t>
      </w:r>
      <w:r w:rsidR="00273442">
        <w:t xml:space="preserve"> (1997) “Community </w:t>
      </w:r>
      <w:r w:rsidR="00A45A64">
        <w:t>health needs assessment of healthy community assessment</w:t>
      </w:r>
      <w:r w:rsidR="00273442">
        <w:t xml:space="preserve">? Whose </w:t>
      </w:r>
      <w:r w:rsidR="00A45A64">
        <w:t>community</w:t>
      </w:r>
      <w:r w:rsidR="00273442">
        <w:t xml:space="preserve">? Whose </w:t>
      </w:r>
      <w:r w:rsidR="00A45A64">
        <w:t>health</w:t>
      </w:r>
      <w:r w:rsidR="00273442">
        <w:t xml:space="preserve">? Whose </w:t>
      </w:r>
      <w:r w:rsidR="00A45A64">
        <w:t>assessment</w:t>
      </w:r>
      <w:r w:rsidR="00273442">
        <w:t xml:space="preserve">?” </w:t>
      </w:r>
      <w:proofErr w:type="gramStart"/>
      <w:r w:rsidR="00273442">
        <w:t xml:space="preserve">In </w:t>
      </w:r>
      <w:r w:rsidR="00BE4025">
        <w:t xml:space="preserve">M. </w:t>
      </w:r>
      <w:proofErr w:type="spellStart"/>
      <w:r w:rsidR="00BE4025">
        <w:t>Minkler</w:t>
      </w:r>
      <w:proofErr w:type="spellEnd"/>
      <w:r w:rsidR="00273442">
        <w:t xml:space="preserve"> (ed</w:t>
      </w:r>
      <w:r w:rsidR="008B0798">
        <w:t>.</w:t>
      </w:r>
      <w:r w:rsidR="00273442">
        <w:t xml:space="preserve">) </w:t>
      </w:r>
      <w:r w:rsidR="00273442" w:rsidRPr="00F615C9">
        <w:rPr>
          <w:u w:val="single"/>
        </w:rPr>
        <w:t>Community Organising and Community Building for Health</w:t>
      </w:r>
      <w:r w:rsidR="00273442">
        <w:t>.</w:t>
      </w:r>
      <w:proofErr w:type="gramEnd"/>
      <w:r w:rsidR="00273442">
        <w:t xml:space="preserve"> New York</w:t>
      </w:r>
      <w:r w:rsidR="00AB0D97">
        <w:t>:</w:t>
      </w:r>
      <w:r w:rsidR="00273442">
        <w:t xml:space="preserve"> Rutgers University Press. 148-152. </w:t>
      </w:r>
    </w:p>
    <w:p w14:paraId="2800F703" w14:textId="55837CF5" w:rsidR="00061DE5" w:rsidRPr="00061DE5" w:rsidRDefault="00AB0548" w:rsidP="003B40F6">
      <w:pPr>
        <w:spacing w:line="480" w:lineRule="auto"/>
      </w:pPr>
      <w:proofErr w:type="spellStart"/>
      <w:r>
        <w:t>Hawe</w:t>
      </w:r>
      <w:proofErr w:type="gramStart"/>
      <w:r>
        <w:t>,P</w:t>
      </w:r>
      <w:proofErr w:type="spellEnd"/>
      <w:proofErr w:type="gramEnd"/>
      <w:r>
        <w:t>,</w:t>
      </w:r>
      <w:r w:rsidR="00061DE5">
        <w:t xml:space="preserve"> </w:t>
      </w:r>
      <w:proofErr w:type="spellStart"/>
      <w:r w:rsidR="00061DE5">
        <w:t>Noort</w:t>
      </w:r>
      <w:proofErr w:type="spellEnd"/>
      <w:r w:rsidR="00061DE5">
        <w:t xml:space="preserve">, M., King, I. and </w:t>
      </w:r>
      <w:proofErr w:type="spellStart"/>
      <w:r w:rsidR="00061DE5">
        <w:t>Jordens</w:t>
      </w:r>
      <w:proofErr w:type="spellEnd"/>
      <w:r w:rsidR="00061DE5">
        <w:t>, C. (1997) “Multiplying health gains: The critical role of capacity building within health promotion programs</w:t>
      </w:r>
      <w:r w:rsidR="00AB0D97">
        <w:t>,”</w:t>
      </w:r>
      <w:r w:rsidR="00061DE5">
        <w:t xml:space="preserve"> </w:t>
      </w:r>
      <w:r w:rsidR="00061DE5">
        <w:rPr>
          <w:u w:val="single"/>
        </w:rPr>
        <w:t xml:space="preserve">Health Policy </w:t>
      </w:r>
      <w:r w:rsidR="00061DE5">
        <w:t>339, 29-42.</w:t>
      </w:r>
    </w:p>
    <w:p w14:paraId="4811004A" w14:textId="77777777" w:rsidR="00273442" w:rsidRDefault="00273442" w:rsidP="003B40F6">
      <w:pPr>
        <w:spacing w:line="480" w:lineRule="auto"/>
      </w:pPr>
      <w:r w:rsidRPr="00323F1F">
        <w:t>Ife, J. (2005</w:t>
      </w:r>
      <w:r>
        <w:t>)</w:t>
      </w:r>
      <w:r w:rsidRPr="00323F1F">
        <w:t xml:space="preserve"> </w:t>
      </w:r>
      <w:r>
        <w:t>“</w:t>
      </w:r>
      <w:r w:rsidRPr="00323F1F">
        <w:t xml:space="preserve">Globalised </w:t>
      </w:r>
      <w:r>
        <w:t>c</w:t>
      </w:r>
      <w:r w:rsidRPr="00323F1F">
        <w:t xml:space="preserve">ommunity </w:t>
      </w:r>
      <w:r>
        <w:t>d</w:t>
      </w:r>
      <w:r w:rsidRPr="00323F1F">
        <w:t>evelopment</w:t>
      </w:r>
      <w:r>
        <w:t>”</w:t>
      </w:r>
      <w:r w:rsidRPr="00323F1F">
        <w:t xml:space="preserve">. </w:t>
      </w:r>
      <w:r>
        <w:t>Keynote Presentation to the Energise</w:t>
      </w:r>
      <w:r w:rsidRPr="006C784D">
        <w:t xml:space="preserve"> Conference</w:t>
      </w:r>
      <w:r>
        <w:t>,</w:t>
      </w:r>
      <w:r w:rsidRPr="006C784D">
        <w:t xml:space="preserve"> </w:t>
      </w:r>
      <w:r w:rsidRPr="00323F1F">
        <w:t>Local Government Community Development Conference New Plymouth, NZ.</w:t>
      </w:r>
    </w:p>
    <w:p w14:paraId="4F44DFD3" w14:textId="77777777" w:rsidR="00640004" w:rsidRDefault="00640004" w:rsidP="003B40F6">
      <w:pPr>
        <w:spacing w:line="480" w:lineRule="auto"/>
      </w:pPr>
      <w:r>
        <w:t xml:space="preserve">Johns, </w:t>
      </w:r>
      <w:r w:rsidRPr="00AE322D">
        <w:t>S</w:t>
      </w:r>
      <w:r w:rsidR="006A2EE7">
        <w:t>.,</w:t>
      </w:r>
      <w:r w:rsidRPr="00AE322D">
        <w:t xml:space="preserve"> </w:t>
      </w:r>
      <w:r w:rsidR="006A2EE7">
        <w:t>Kilpatrick, S. and Whelan, J.</w:t>
      </w:r>
      <w:r w:rsidRPr="00AE322D">
        <w:t xml:space="preserve"> </w:t>
      </w:r>
      <w:r w:rsidR="0022775C" w:rsidRPr="00AE322D">
        <w:t xml:space="preserve">(2007) </w:t>
      </w:r>
      <w:r w:rsidRPr="00AE322D">
        <w:t xml:space="preserve">“Our health in our hands: Building effective community partnerships for rural health service provision”, </w:t>
      </w:r>
      <w:r w:rsidRPr="006A2EE7">
        <w:rPr>
          <w:u w:val="single"/>
        </w:rPr>
        <w:t>Rural Society</w:t>
      </w:r>
      <w:r w:rsidR="006A2EE7">
        <w:t xml:space="preserve"> 17(1),</w:t>
      </w:r>
      <w:r w:rsidRPr="00AE322D">
        <w:t xml:space="preserve"> 50-65. </w:t>
      </w:r>
      <w:proofErr w:type="gramStart"/>
      <w:r w:rsidRPr="00AE322D">
        <w:t>doi:10.517</w:t>
      </w:r>
      <w:r w:rsidR="002C689E">
        <w:t>2</w:t>
      </w:r>
      <w:proofErr w:type="gramEnd"/>
      <w:r w:rsidR="002C689E">
        <w:t>/rsj.351.17.1.50ISSN 1037-1656.</w:t>
      </w:r>
    </w:p>
    <w:p w14:paraId="204B8802" w14:textId="31CCBEF2" w:rsidR="002C689E" w:rsidRPr="002C689E" w:rsidRDefault="00A755ED" w:rsidP="003B40F6">
      <w:pPr>
        <w:spacing w:line="480" w:lineRule="auto"/>
      </w:pPr>
      <w:r>
        <w:lastRenderedPageBreak/>
        <w:t>Jorda</w:t>
      </w:r>
      <w:r w:rsidR="002C689E">
        <w:t xml:space="preserve">n, J., </w:t>
      </w:r>
      <w:proofErr w:type="spellStart"/>
      <w:r w:rsidR="002C689E">
        <w:t>Dowswell</w:t>
      </w:r>
      <w:proofErr w:type="spellEnd"/>
      <w:r w:rsidR="002C689E">
        <w:t xml:space="preserve">, T., </w:t>
      </w:r>
      <w:proofErr w:type="spellStart"/>
      <w:r w:rsidR="002C689E">
        <w:t>Harrisson</w:t>
      </w:r>
      <w:proofErr w:type="spellEnd"/>
      <w:r w:rsidR="002C689E">
        <w:t xml:space="preserve">, S., </w:t>
      </w:r>
      <w:proofErr w:type="spellStart"/>
      <w:r w:rsidR="002C689E">
        <w:t>Lilford</w:t>
      </w:r>
      <w:proofErr w:type="spellEnd"/>
      <w:r w:rsidR="002C689E">
        <w:t>, R</w:t>
      </w:r>
      <w:r w:rsidR="00AB0548">
        <w:t>.</w:t>
      </w:r>
      <w:r w:rsidR="002C689E">
        <w:t xml:space="preserve"> and Mort, M. (1998) “Health </w:t>
      </w:r>
      <w:r w:rsidR="00984068">
        <w:t>needs ass</w:t>
      </w:r>
      <w:r w:rsidR="002C689E">
        <w:t>essment: Whose priorities? Listening to users and the public</w:t>
      </w:r>
      <w:r w:rsidR="008B0798">
        <w:t>,”</w:t>
      </w:r>
      <w:r w:rsidR="002C689E">
        <w:t xml:space="preserve"> </w:t>
      </w:r>
      <w:r w:rsidR="002C689E">
        <w:rPr>
          <w:u w:val="single"/>
        </w:rPr>
        <w:t xml:space="preserve">BMJ </w:t>
      </w:r>
      <w:r w:rsidR="002C689E">
        <w:t>316, 1668-1670.</w:t>
      </w:r>
    </w:p>
    <w:p w14:paraId="0CAD6CDA" w14:textId="77777777" w:rsidR="00A314A0" w:rsidRDefault="00756EC2" w:rsidP="003B40F6">
      <w:pPr>
        <w:spacing w:line="480" w:lineRule="auto"/>
      </w:pPr>
      <w:proofErr w:type="gramStart"/>
      <w:r>
        <w:rPr>
          <w:rFonts w:hint="eastAsia"/>
        </w:rPr>
        <w:t>Kilpatrick, S. (2009)</w:t>
      </w:r>
      <w:r w:rsidR="00A314A0" w:rsidRPr="00A3738D">
        <w:rPr>
          <w:rFonts w:hint="eastAsia"/>
        </w:rPr>
        <w:t xml:space="preserve"> </w:t>
      </w:r>
      <w:r>
        <w:t>“</w:t>
      </w:r>
      <w:r w:rsidR="00A314A0" w:rsidRPr="00A3738D">
        <w:rPr>
          <w:rFonts w:hint="eastAsia"/>
        </w:rPr>
        <w:t>Multi</w:t>
      </w:r>
      <w:r w:rsidR="00A314A0" w:rsidRPr="00A3738D">
        <w:rPr>
          <w:rFonts w:hint="eastAsia"/>
        </w:rPr>
        <w:t>‐</w:t>
      </w:r>
      <w:r w:rsidR="00A314A0" w:rsidRPr="00A3738D">
        <w:rPr>
          <w:rFonts w:hint="eastAsia"/>
        </w:rPr>
        <w:t>level rural community engagement in health</w:t>
      </w:r>
      <w:r>
        <w:t>,”</w:t>
      </w:r>
      <w:r w:rsidR="00A314A0" w:rsidRPr="00A3738D">
        <w:rPr>
          <w:rFonts w:hint="eastAsia"/>
        </w:rPr>
        <w:t xml:space="preserve"> </w:t>
      </w:r>
      <w:r w:rsidR="00A314A0" w:rsidRPr="00756EC2">
        <w:rPr>
          <w:rFonts w:hint="eastAsia"/>
          <w:u w:val="single"/>
        </w:rPr>
        <w:t>Australian Journal of Rural Health</w:t>
      </w:r>
      <w:r w:rsidR="00A314A0" w:rsidRPr="00A3738D">
        <w:rPr>
          <w:rFonts w:hint="eastAsia"/>
        </w:rPr>
        <w:t xml:space="preserve"> 17(1), 39-44.</w:t>
      </w:r>
      <w:proofErr w:type="gramEnd"/>
    </w:p>
    <w:p w14:paraId="74359C8B" w14:textId="77777777" w:rsidR="00237314" w:rsidRPr="00237314" w:rsidRDefault="00237314" w:rsidP="003B40F6">
      <w:pPr>
        <w:spacing w:line="480" w:lineRule="auto"/>
      </w:pPr>
      <w:r w:rsidRPr="00237314">
        <w:rPr>
          <w:bCs/>
        </w:rPr>
        <w:t>Kilpatrick, S.</w:t>
      </w:r>
      <w:r w:rsidRPr="00580A52">
        <w:t xml:space="preserve"> </w:t>
      </w:r>
      <w:r w:rsidR="00353799">
        <w:t>and</w:t>
      </w:r>
      <w:r w:rsidRPr="00580A52">
        <w:t xml:space="preserve"> Auckland, S</w:t>
      </w:r>
      <w:r w:rsidR="00353799">
        <w:t>. (2009)</w:t>
      </w:r>
      <w:r w:rsidRPr="00580A52">
        <w:t xml:space="preserve"> </w:t>
      </w:r>
      <w:r w:rsidR="00C629A2">
        <w:t>“</w:t>
      </w:r>
      <w:r w:rsidRPr="00580A52">
        <w:t>Community participation in a socially fragmented region: Understanding social capital to support a primary health care approach,</w:t>
      </w:r>
      <w:r w:rsidR="00C629A2">
        <w:t>”</w:t>
      </w:r>
      <w:r w:rsidR="005676F5">
        <w:t xml:space="preserve"> in</w:t>
      </w:r>
      <w:r w:rsidR="00C629A2">
        <w:t xml:space="preserve"> </w:t>
      </w:r>
      <w:r w:rsidR="005676F5" w:rsidRPr="00580A52">
        <w:t>G</w:t>
      </w:r>
      <w:r w:rsidR="005676F5">
        <w:t>.</w:t>
      </w:r>
      <w:r w:rsidR="005676F5" w:rsidRPr="00580A52">
        <w:t xml:space="preserve"> Gre</w:t>
      </w:r>
      <w:r w:rsidR="005676F5">
        <w:t xml:space="preserve">gory (ed.) </w:t>
      </w:r>
      <w:r w:rsidRPr="00C629A2">
        <w:rPr>
          <w:iCs/>
          <w:u w:val="single"/>
        </w:rPr>
        <w:t>Proceedings of the 10th National Rural Health Conference</w:t>
      </w:r>
      <w:r w:rsidRPr="00580A52">
        <w:rPr>
          <w:i/>
        </w:rPr>
        <w:t>,</w:t>
      </w:r>
      <w:r w:rsidRPr="00580A52">
        <w:t xml:space="preserve"> </w:t>
      </w:r>
      <w:r w:rsidR="005676F5">
        <w:t>Cairns Qld, 17-20 May</w:t>
      </w:r>
      <w:r w:rsidRPr="00580A52">
        <w:t xml:space="preserve">. Canberra: National Rural Health Alliance. </w:t>
      </w:r>
      <w:r w:rsidR="009773E9">
        <w:t>Retrieved 9</w:t>
      </w:r>
      <w:r w:rsidR="009773E9" w:rsidRPr="008E3E03">
        <w:rPr>
          <w:vertAlign w:val="superscript"/>
        </w:rPr>
        <w:t>th</w:t>
      </w:r>
      <w:r w:rsidR="009773E9">
        <w:t xml:space="preserve"> January 2018 from </w:t>
      </w:r>
      <w:hyperlink r:id="rId12" w:history="1">
        <w:r w:rsidRPr="00880224">
          <w:t>http://10thnrhc.ruralhealth.org.au/papers/docs/Kilpatrick_Sue_D2.pdf</w:t>
        </w:r>
      </w:hyperlink>
    </w:p>
    <w:p w14:paraId="47C366EC" w14:textId="77777777" w:rsidR="002140E0" w:rsidRPr="00580A52" w:rsidRDefault="002140E0" w:rsidP="003B40F6">
      <w:pPr>
        <w:spacing w:line="480" w:lineRule="auto"/>
      </w:pPr>
      <w:r w:rsidRPr="002140E0">
        <w:t xml:space="preserve">Kilpatrick, S., </w:t>
      </w:r>
      <w:r w:rsidR="000C7D87">
        <w:t>King, T. and</w:t>
      </w:r>
      <w:r w:rsidRPr="00580A52">
        <w:t xml:space="preserve"> Willis, K</w:t>
      </w:r>
      <w:r w:rsidR="000951FA">
        <w:t>.</w:t>
      </w:r>
      <w:r w:rsidRPr="00580A52">
        <w:rPr>
          <w:rFonts w:eastAsia="Arial Unicode MS"/>
          <w:i/>
          <w:iCs/>
        </w:rPr>
        <w:t xml:space="preserve"> </w:t>
      </w:r>
      <w:r w:rsidRPr="00580A52">
        <w:rPr>
          <w:rFonts w:eastAsia="Arial Unicode MS"/>
          <w:iCs/>
        </w:rPr>
        <w:t xml:space="preserve">(2015) </w:t>
      </w:r>
      <w:r w:rsidR="00353799">
        <w:rPr>
          <w:rFonts w:eastAsia="Arial Unicode MS"/>
          <w:iCs/>
        </w:rPr>
        <w:t>“</w:t>
      </w:r>
      <w:r w:rsidRPr="00580A52">
        <w:t>Not just a fisherman's wife: Women's contribution to health and wellbeing in commercial fishing,</w:t>
      </w:r>
      <w:r w:rsidR="00353799">
        <w:t>”</w:t>
      </w:r>
      <w:r w:rsidRPr="00580A52">
        <w:t xml:space="preserve"> </w:t>
      </w:r>
      <w:r w:rsidRPr="00353799">
        <w:rPr>
          <w:iCs/>
          <w:u w:val="single"/>
        </w:rPr>
        <w:t>Aus</w:t>
      </w:r>
      <w:r w:rsidR="00353799" w:rsidRPr="00353799">
        <w:rPr>
          <w:iCs/>
          <w:u w:val="single"/>
        </w:rPr>
        <w:t>tralian Journal of Rural Health</w:t>
      </w:r>
      <w:r w:rsidRPr="00580A52">
        <w:rPr>
          <w:i/>
        </w:rPr>
        <w:t xml:space="preserve"> </w:t>
      </w:r>
      <w:r w:rsidRPr="00580A52">
        <w:t>23, 62–66</w:t>
      </w:r>
      <w:r w:rsidRPr="00580A52">
        <w:rPr>
          <w:rFonts w:eastAsia="Arial Unicode MS"/>
          <w:iCs/>
        </w:rPr>
        <w:t>.</w:t>
      </w:r>
      <w:r w:rsidRPr="00580A52">
        <w:t xml:space="preserve"> </w:t>
      </w:r>
    </w:p>
    <w:p w14:paraId="2E505143" w14:textId="77777777" w:rsidR="002140E0" w:rsidRPr="00580A52" w:rsidRDefault="002140E0" w:rsidP="003B40F6">
      <w:pPr>
        <w:spacing w:line="480" w:lineRule="auto"/>
      </w:pPr>
      <w:r w:rsidRPr="002140E0">
        <w:t>Kilpatrick, S.,</w:t>
      </w:r>
      <w:r w:rsidRPr="00580A52">
        <w:t xml:space="preserve"> Willis, K</w:t>
      </w:r>
      <w:r w:rsidR="008711E1">
        <w:t xml:space="preserve">., Johns, S. and </w:t>
      </w:r>
      <w:r w:rsidR="00353799">
        <w:t>Peek, K. (2012)</w:t>
      </w:r>
      <w:r w:rsidRPr="00580A52">
        <w:t xml:space="preserve"> </w:t>
      </w:r>
      <w:r w:rsidR="00353799">
        <w:t>“</w:t>
      </w:r>
      <w:r w:rsidRPr="00580A52">
        <w:t>Supporting farmer and fisher health and wellbeing in ‘difficult times’: communities of place and industry associations,</w:t>
      </w:r>
      <w:r w:rsidR="00353799">
        <w:t>”</w:t>
      </w:r>
      <w:r w:rsidRPr="00580A52">
        <w:t xml:space="preserve"> </w:t>
      </w:r>
      <w:r w:rsidRPr="00353799">
        <w:rPr>
          <w:u w:val="single"/>
        </w:rPr>
        <w:t>Rural Society</w:t>
      </w:r>
      <w:r w:rsidR="00353799">
        <w:t xml:space="preserve"> 22(</w:t>
      </w:r>
      <w:r w:rsidRPr="00580A52">
        <w:t>1</w:t>
      </w:r>
      <w:r w:rsidR="00353799">
        <w:t>)</w:t>
      </w:r>
      <w:r w:rsidRPr="00580A52">
        <w:t xml:space="preserve">, 31-44. </w:t>
      </w:r>
    </w:p>
    <w:p w14:paraId="5A4A55E6" w14:textId="73F7D942" w:rsidR="001D4217" w:rsidRDefault="004E2B8E" w:rsidP="003B40F6">
      <w:pPr>
        <w:spacing w:line="480" w:lineRule="auto"/>
      </w:pPr>
      <w:r w:rsidRPr="004E2B8E">
        <w:t xml:space="preserve">King, T., Kilpatrick, S., Willis, K. </w:t>
      </w:r>
      <w:r w:rsidR="003B1C6C">
        <w:t>and</w:t>
      </w:r>
      <w:r w:rsidR="000951FA">
        <w:t xml:space="preserve"> </w:t>
      </w:r>
      <w:proofErr w:type="spellStart"/>
      <w:r w:rsidR="000951FA" w:rsidRPr="000951FA">
        <w:t>Speldewinde</w:t>
      </w:r>
      <w:proofErr w:type="spellEnd"/>
      <w:r w:rsidR="000951FA">
        <w:t>, C.</w:t>
      </w:r>
      <w:r w:rsidRPr="004E2B8E">
        <w:t xml:space="preserve"> (2015) </w:t>
      </w:r>
      <w:r w:rsidR="003B1C6C">
        <w:t xml:space="preserve">“A </w:t>
      </w:r>
      <w:r w:rsidR="00CD2F85">
        <w:t>different kettle of fish</w:t>
      </w:r>
      <w:r w:rsidRPr="004E2B8E">
        <w:t xml:space="preserve">: Mental </w:t>
      </w:r>
      <w:r w:rsidR="00CD2F85" w:rsidRPr="004E2B8E">
        <w:t xml:space="preserve">health strategies </w:t>
      </w:r>
      <w:r w:rsidRPr="004E2B8E">
        <w:t xml:space="preserve">for Australian </w:t>
      </w:r>
      <w:r w:rsidR="00CD2F85" w:rsidRPr="004E2B8E">
        <w:t>fishers, and farmers</w:t>
      </w:r>
      <w:r w:rsidRPr="004E2B8E">
        <w:t>,</w:t>
      </w:r>
      <w:r w:rsidR="003B1C6C">
        <w:t>”</w:t>
      </w:r>
      <w:r w:rsidRPr="004E2B8E">
        <w:t xml:space="preserve"> </w:t>
      </w:r>
      <w:r w:rsidRPr="003B1C6C">
        <w:rPr>
          <w:u w:val="single"/>
        </w:rPr>
        <w:t>Marine Policy</w:t>
      </w:r>
      <w:r w:rsidRPr="004E2B8E">
        <w:t xml:space="preserve"> </w:t>
      </w:r>
      <w:r w:rsidR="003B1C6C">
        <w:t>10(</w:t>
      </w:r>
      <w:r w:rsidRPr="004E2B8E">
        <w:t>60</w:t>
      </w:r>
      <w:r w:rsidR="003B1C6C">
        <w:t>)</w:t>
      </w:r>
      <w:r w:rsidRPr="004E2B8E">
        <w:t>, 134-140.</w:t>
      </w:r>
    </w:p>
    <w:p w14:paraId="11BC5897" w14:textId="738DA745" w:rsidR="00F615C9" w:rsidRDefault="0065567E" w:rsidP="003B40F6">
      <w:pPr>
        <w:spacing w:line="480" w:lineRule="auto"/>
      </w:pPr>
      <w:r>
        <w:t>McKnight, J.</w:t>
      </w:r>
      <w:r w:rsidR="00F615C9" w:rsidRPr="00F615C9">
        <w:t xml:space="preserve"> </w:t>
      </w:r>
      <w:r>
        <w:t>and</w:t>
      </w:r>
      <w:r w:rsidR="00F615C9" w:rsidRPr="00F615C9">
        <w:t xml:space="preserve"> </w:t>
      </w:r>
      <w:proofErr w:type="spellStart"/>
      <w:r w:rsidR="00F615C9" w:rsidRPr="00F615C9">
        <w:t>Kretzmann</w:t>
      </w:r>
      <w:proofErr w:type="spellEnd"/>
      <w:r w:rsidR="00F615C9" w:rsidRPr="00F615C9">
        <w:t xml:space="preserve">, J. (1993). </w:t>
      </w:r>
      <w:r w:rsidR="00F615C9" w:rsidRPr="00F615C9">
        <w:rPr>
          <w:u w:val="single"/>
        </w:rPr>
        <w:t xml:space="preserve">Building communities from the inside out. </w:t>
      </w:r>
      <w:proofErr w:type="gramStart"/>
      <w:r w:rsidR="00F615C9" w:rsidRPr="00F615C9">
        <w:rPr>
          <w:u w:val="single"/>
        </w:rPr>
        <w:t>A path toward finding and mobilizing a community’s assets</w:t>
      </w:r>
      <w:r w:rsidR="00F615C9" w:rsidRPr="00F615C9">
        <w:t>.</w:t>
      </w:r>
      <w:proofErr w:type="gramEnd"/>
      <w:r w:rsidR="00F615C9">
        <w:t xml:space="preserve"> </w:t>
      </w:r>
      <w:r w:rsidR="00F615C9" w:rsidRPr="00F615C9">
        <w:t>Evanston, IL</w:t>
      </w:r>
      <w:r w:rsidR="00F615C9">
        <w:t>:</w:t>
      </w:r>
      <w:r w:rsidR="00F615C9" w:rsidRPr="00F615C9">
        <w:t xml:space="preserve"> </w:t>
      </w:r>
      <w:proofErr w:type="spellStart"/>
      <w:r w:rsidR="00F615C9" w:rsidRPr="00F615C9">
        <w:t>Center</w:t>
      </w:r>
      <w:proofErr w:type="spellEnd"/>
      <w:r w:rsidR="00F615C9" w:rsidRPr="00F615C9">
        <w:t xml:space="preserve"> for Urban Affairs and Policy Re</w:t>
      </w:r>
      <w:r w:rsidR="00CC355D">
        <w:t>search</w:t>
      </w:r>
      <w:r w:rsidR="00F615C9" w:rsidRPr="00F615C9">
        <w:t>.</w:t>
      </w:r>
    </w:p>
    <w:p w14:paraId="1D21FBC3" w14:textId="74518054" w:rsidR="00F615C9" w:rsidRDefault="00273442" w:rsidP="003B40F6">
      <w:pPr>
        <w:spacing w:line="480" w:lineRule="auto"/>
      </w:pPr>
      <w:proofErr w:type="spellStart"/>
      <w:r>
        <w:t>Langwell</w:t>
      </w:r>
      <w:proofErr w:type="spellEnd"/>
      <w:r>
        <w:t>, K</w:t>
      </w:r>
      <w:r w:rsidR="00CC355D">
        <w:t>.</w:t>
      </w:r>
      <w:r>
        <w:t xml:space="preserve"> (2009) “Conducting </w:t>
      </w:r>
      <w:r w:rsidR="00CD2F85">
        <w:t>community health needs assessments</w:t>
      </w:r>
      <w:r>
        <w:t xml:space="preserve">: Objectives and </w:t>
      </w:r>
      <w:r w:rsidR="00CD2F85">
        <w:t>methodologies and uses</w:t>
      </w:r>
      <w:r>
        <w:t xml:space="preserve">”. </w:t>
      </w:r>
      <w:proofErr w:type="gramStart"/>
      <w:r>
        <w:t>United States Department of Health and Human Services.</w:t>
      </w:r>
      <w:proofErr w:type="gramEnd"/>
    </w:p>
    <w:p w14:paraId="32C34F1B" w14:textId="40FA7908" w:rsidR="00273442" w:rsidRDefault="00F24F95" w:rsidP="003B40F6">
      <w:pPr>
        <w:spacing w:line="480" w:lineRule="auto"/>
      </w:pPr>
      <w:proofErr w:type="spellStart"/>
      <w:proofErr w:type="gramStart"/>
      <w:r>
        <w:t>Manaf</w:t>
      </w:r>
      <w:proofErr w:type="spellEnd"/>
      <w:r>
        <w:t>, R</w:t>
      </w:r>
      <w:r w:rsidR="00AB0548">
        <w:t>.</w:t>
      </w:r>
      <w:r>
        <w:t xml:space="preserve"> and </w:t>
      </w:r>
      <w:proofErr w:type="spellStart"/>
      <w:r>
        <w:t>Juni</w:t>
      </w:r>
      <w:proofErr w:type="spellEnd"/>
      <w:r>
        <w:t>, M</w:t>
      </w:r>
      <w:r w:rsidR="00AB0548">
        <w:t>.</w:t>
      </w:r>
      <w:r>
        <w:t xml:space="preserve"> (2017) “Analysis of </w:t>
      </w:r>
      <w:r w:rsidR="00CD2F85">
        <w:t>health planning theories- a systematic approach</w:t>
      </w:r>
      <w:r>
        <w:t xml:space="preserve">”, </w:t>
      </w:r>
      <w:r w:rsidR="00061DE5">
        <w:rPr>
          <w:u w:val="single"/>
        </w:rPr>
        <w:t xml:space="preserve">International Journal of Public Health and Clinical Sciences </w:t>
      </w:r>
      <w:r w:rsidR="00061DE5">
        <w:t>4 (3), 14-22.</w:t>
      </w:r>
      <w:proofErr w:type="gramEnd"/>
    </w:p>
    <w:p w14:paraId="72ACC74F" w14:textId="2C32FC7A" w:rsidR="001A7113" w:rsidRPr="00061DE5" w:rsidRDefault="001A7113" w:rsidP="003B40F6">
      <w:pPr>
        <w:spacing w:line="480" w:lineRule="auto"/>
      </w:pPr>
      <w:proofErr w:type="spellStart"/>
      <w:r w:rsidRPr="001A7113">
        <w:t>Mathie</w:t>
      </w:r>
      <w:proofErr w:type="spellEnd"/>
      <w:r w:rsidRPr="001A7113">
        <w:t xml:space="preserve">, A., </w:t>
      </w:r>
      <w:r w:rsidR="00103879">
        <w:t>and</w:t>
      </w:r>
      <w:r w:rsidRPr="001A7113">
        <w:t xml:space="preserve"> Cunningham, G. (2003). </w:t>
      </w:r>
      <w:r w:rsidR="00E57C31">
        <w:t>“</w:t>
      </w:r>
      <w:r w:rsidRPr="001A7113">
        <w:t>From clients to citizens: Asset-based community development as a strategy for community-driven development</w:t>
      </w:r>
      <w:r w:rsidR="00E57C31">
        <w:t>,”</w:t>
      </w:r>
      <w:r w:rsidRPr="001A7113">
        <w:t xml:space="preserve"> </w:t>
      </w:r>
      <w:r w:rsidRPr="00E57C31">
        <w:rPr>
          <w:u w:val="single"/>
        </w:rPr>
        <w:t xml:space="preserve">Development in </w:t>
      </w:r>
      <w:r w:rsidR="00CC355D">
        <w:rPr>
          <w:u w:val="single"/>
        </w:rPr>
        <w:t>P</w:t>
      </w:r>
      <w:r w:rsidRPr="00E57C31">
        <w:rPr>
          <w:u w:val="single"/>
        </w:rPr>
        <w:t>ractice</w:t>
      </w:r>
      <w:r w:rsidRPr="001A7113">
        <w:t>, 13(5), 474-486.</w:t>
      </w:r>
    </w:p>
    <w:p w14:paraId="09BE7E47" w14:textId="554B3139" w:rsidR="00D8516F" w:rsidRDefault="00165D55" w:rsidP="003B40F6">
      <w:pPr>
        <w:spacing w:line="480" w:lineRule="auto"/>
      </w:pPr>
      <w:proofErr w:type="spellStart"/>
      <w:r>
        <w:lastRenderedPageBreak/>
        <w:t>Rickards</w:t>
      </w:r>
      <w:proofErr w:type="spellEnd"/>
      <w:r>
        <w:t xml:space="preserve">, L. (2011) </w:t>
      </w:r>
      <w:r w:rsidR="009C4F38">
        <w:t>“</w:t>
      </w:r>
      <w:r>
        <w:t xml:space="preserve">Rural </w:t>
      </w:r>
      <w:r w:rsidR="009C4F38">
        <w:t>h</w:t>
      </w:r>
      <w:r>
        <w:t xml:space="preserve">ealth: Problems, </w:t>
      </w:r>
      <w:r w:rsidR="009C4F38">
        <w:t>p</w:t>
      </w:r>
      <w:r>
        <w:t xml:space="preserve">revention and </w:t>
      </w:r>
      <w:r w:rsidR="009C4F38">
        <w:t>p</w:t>
      </w:r>
      <w:r>
        <w:t xml:space="preserve">ositive </w:t>
      </w:r>
      <w:r w:rsidR="009C4F38">
        <w:t>outcomes</w:t>
      </w:r>
      <w:r w:rsidR="00811502">
        <w:t>,” In</w:t>
      </w:r>
      <w:r w:rsidR="009C4F38">
        <w:t xml:space="preserve"> </w:t>
      </w:r>
      <w:r w:rsidR="009C4F38" w:rsidRPr="00811502">
        <w:rPr>
          <w:u w:val="single"/>
        </w:rPr>
        <w:t>Health</w:t>
      </w:r>
      <w:r w:rsidR="009C4F38">
        <w:t>,</w:t>
      </w:r>
      <w:r w:rsidR="00811502">
        <w:t xml:space="preserve"> Future Leaders</w:t>
      </w:r>
      <w:r w:rsidR="00721A02">
        <w:t>, 153</w:t>
      </w:r>
      <w:r>
        <w:t xml:space="preserve">-173. </w:t>
      </w:r>
      <w:r w:rsidR="00AF0FC6">
        <w:t>Retrieved 9</w:t>
      </w:r>
      <w:r w:rsidR="00AF0FC6" w:rsidRPr="00915A47">
        <w:rPr>
          <w:vertAlign w:val="superscript"/>
        </w:rPr>
        <w:t>th</w:t>
      </w:r>
      <w:r w:rsidR="00AF0FC6">
        <w:t xml:space="preserve"> January</w:t>
      </w:r>
      <w:r>
        <w:t xml:space="preserve"> </w:t>
      </w:r>
      <w:r w:rsidR="00AF0FC6">
        <w:t>from</w:t>
      </w:r>
      <w:r w:rsidR="00721A02">
        <w:t xml:space="preserve"> </w:t>
      </w:r>
      <w:hyperlink r:id="rId13" w:history="1">
        <w:r w:rsidR="00AF0FC6" w:rsidRPr="00D64E78">
          <w:rPr>
            <w:rStyle w:val="Hyperlink"/>
          </w:rPr>
          <w:t>http://www.futureleaders.com.au/book_chapters/Health/Lauren_Rickards.php</w:t>
        </w:r>
      </w:hyperlink>
      <w:r w:rsidR="00AF0FC6">
        <w:t xml:space="preserve"> </w:t>
      </w:r>
    </w:p>
    <w:p w14:paraId="6BFF177F" w14:textId="4567C70F" w:rsidR="00640004" w:rsidRDefault="00640004" w:rsidP="003B40F6">
      <w:pPr>
        <w:spacing w:line="480" w:lineRule="auto"/>
      </w:pPr>
      <w:r>
        <w:t>Steen, J</w:t>
      </w:r>
      <w:r w:rsidR="00AB0548">
        <w:t>.</w:t>
      </w:r>
      <w:r>
        <w:t xml:space="preserve"> (2008) </w:t>
      </w:r>
      <w:r w:rsidR="008156D5">
        <w:t>“</w:t>
      </w:r>
      <w:r>
        <w:t xml:space="preserve">Community </w:t>
      </w:r>
      <w:r w:rsidR="00F1685F">
        <w:t>h</w:t>
      </w:r>
      <w:r>
        <w:t xml:space="preserve">ealth </w:t>
      </w:r>
      <w:r w:rsidR="00F1685F">
        <w:t>p</w:t>
      </w:r>
      <w:r>
        <w:t>lanning</w:t>
      </w:r>
      <w:r w:rsidR="008156D5">
        <w:t>”</w:t>
      </w:r>
      <w:r>
        <w:t xml:space="preserve">. </w:t>
      </w:r>
      <w:proofErr w:type="gramStart"/>
      <w:r>
        <w:t>Ameri</w:t>
      </w:r>
      <w:r w:rsidR="0021127B">
        <w:t>can Health Planning Association,</w:t>
      </w:r>
      <w:r>
        <w:t xml:space="preserve"> 1-6.</w:t>
      </w:r>
      <w:proofErr w:type="gramEnd"/>
      <w:r w:rsidR="004E031C">
        <w:t xml:space="preserve"> </w:t>
      </w:r>
      <w:r w:rsidR="0046680F">
        <w:t>Retrieved 9</w:t>
      </w:r>
      <w:r w:rsidR="0046680F" w:rsidRPr="008E3E03">
        <w:rPr>
          <w:vertAlign w:val="superscript"/>
        </w:rPr>
        <w:t>th</w:t>
      </w:r>
      <w:r w:rsidR="0046680F">
        <w:t xml:space="preserve"> January 2018 from </w:t>
      </w:r>
      <w:hyperlink r:id="rId14" w:history="1">
        <w:r w:rsidR="004E031C" w:rsidRPr="00343EA9">
          <w:rPr>
            <w:rStyle w:val="Hyperlink"/>
          </w:rPr>
          <w:t>http://www.ahpanet.org/Community_Health_Planning_09.pdf</w:t>
        </w:r>
      </w:hyperlink>
      <w:r w:rsidR="004E031C">
        <w:t xml:space="preserve"> </w:t>
      </w:r>
    </w:p>
    <w:p w14:paraId="34355BB3" w14:textId="408E1520" w:rsidR="00061DE5" w:rsidRDefault="00AB0548" w:rsidP="003B40F6">
      <w:pPr>
        <w:spacing w:line="480" w:lineRule="auto"/>
      </w:pPr>
      <w:proofErr w:type="spellStart"/>
      <w:r>
        <w:t>Woodroffe</w:t>
      </w:r>
      <w:proofErr w:type="spellEnd"/>
      <w:r>
        <w:t>, J.,</w:t>
      </w:r>
      <w:r w:rsidR="00061DE5" w:rsidRPr="00895841">
        <w:t xml:space="preserve"> Spencer, J</w:t>
      </w:r>
      <w:r>
        <w:t>. and Auckland, S.</w:t>
      </w:r>
      <w:r w:rsidR="00061DE5" w:rsidRPr="00895841">
        <w:t xml:space="preserve"> (2011) “Community </w:t>
      </w:r>
      <w:r w:rsidR="00F1685F" w:rsidRPr="00895841">
        <w:t>health needs assessment</w:t>
      </w:r>
      <w:r w:rsidR="00061DE5" w:rsidRPr="00895841">
        <w:t>: A platform for promoting community-university partnerships and research to improve community health and wellbeing”, </w:t>
      </w:r>
      <w:r w:rsidR="00061DE5" w:rsidRPr="003808EA">
        <w:rPr>
          <w:u w:val="single"/>
        </w:rPr>
        <w:t>Australasian Journal of University Community Engagement</w:t>
      </w:r>
      <w:r w:rsidR="00061DE5" w:rsidRPr="00895841">
        <w:t> </w:t>
      </w:r>
      <w:r w:rsidR="00061DE5" w:rsidRPr="00660DED">
        <w:t>6</w:t>
      </w:r>
      <w:r w:rsidR="00061DE5" w:rsidRPr="00895841">
        <w:t> (2)</w:t>
      </w:r>
      <w:r w:rsidR="0021127B">
        <w:t>,</w:t>
      </w:r>
      <w:r w:rsidR="00061DE5" w:rsidRPr="00895841">
        <w:t xml:space="preserve"> 57-79. </w:t>
      </w:r>
    </w:p>
    <w:p w14:paraId="023A495E" w14:textId="77777777" w:rsidR="00557AB3" w:rsidRPr="00557AB3" w:rsidRDefault="00557AB3" w:rsidP="00557AB3">
      <w:pPr>
        <w:spacing w:line="480" w:lineRule="auto"/>
        <w:rPr>
          <w:lang w:val="en-US"/>
        </w:rPr>
      </w:pPr>
      <w:r w:rsidRPr="00557AB3">
        <w:rPr>
          <w:lang w:val="en-US"/>
        </w:rPr>
        <w:t xml:space="preserve">Whelan, J., Spencer, J., &amp; Dalton, L. (2009). Building rural health care teams through </w:t>
      </w:r>
      <w:proofErr w:type="spellStart"/>
      <w:r w:rsidRPr="00557AB3">
        <w:rPr>
          <w:lang w:val="en-US"/>
        </w:rPr>
        <w:t>interprofessional</w:t>
      </w:r>
      <w:proofErr w:type="spellEnd"/>
      <w:r w:rsidRPr="00557AB3">
        <w:rPr>
          <w:lang w:val="en-US"/>
        </w:rPr>
        <w:t xml:space="preserve"> simulation-based education. In (</w:t>
      </w:r>
      <w:proofErr w:type="spellStart"/>
      <w:r w:rsidRPr="00557AB3">
        <w:rPr>
          <w:lang w:val="en-US"/>
        </w:rPr>
        <w:t>ed</w:t>
      </w:r>
      <w:proofErr w:type="spellEnd"/>
      <w:r w:rsidRPr="00557AB3">
        <w:rPr>
          <w:lang w:val="en-US"/>
        </w:rPr>
        <w:t>) Gregory, G. (</w:t>
      </w:r>
      <w:proofErr w:type="spellStart"/>
      <w:r w:rsidRPr="00557AB3">
        <w:rPr>
          <w:lang w:val="en-US"/>
        </w:rPr>
        <w:t>ed</w:t>
      </w:r>
      <w:proofErr w:type="spellEnd"/>
      <w:r w:rsidRPr="00557AB3">
        <w:rPr>
          <w:lang w:val="en-US"/>
        </w:rPr>
        <w:t xml:space="preserve">) </w:t>
      </w:r>
      <w:r w:rsidRPr="00557AB3">
        <w:rPr>
          <w:u w:val="single"/>
          <w:lang w:val="en-US"/>
        </w:rPr>
        <w:t>Proceedings of the 10th National Rural Health Conference</w:t>
      </w:r>
      <w:r w:rsidRPr="00557AB3">
        <w:rPr>
          <w:lang w:val="en-US"/>
        </w:rPr>
        <w:t>, Cairns Queensland, 17-20 May 2009. Canberra: National Rural Health Alliance, pp. 1-10.</w:t>
      </w:r>
    </w:p>
    <w:p w14:paraId="7E0B9F8A" w14:textId="10384B4D" w:rsidR="003A461D" w:rsidRPr="002B5215" w:rsidRDefault="003A461D" w:rsidP="003B40F6">
      <w:pPr>
        <w:spacing w:line="480" w:lineRule="auto"/>
      </w:pPr>
      <w:r>
        <w:t>White</w:t>
      </w:r>
      <w:r w:rsidR="008C06E9">
        <w:t>, D</w:t>
      </w:r>
      <w:r w:rsidR="003808EA">
        <w:t>.</w:t>
      </w:r>
      <w:r>
        <w:t xml:space="preserve"> (2013) </w:t>
      </w:r>
      <w:r w:rsidR="00184E1F">
        <w:t>“</w:t>
      </w:r>
      <w:r>
        <w:t>Development of</w:t>
      </w:r>
      <w:r w:rsidR="00184E1F">
        <w:t xml:space="preserve"> a rural health framework: implications for program service planning and delivery,”</w:t>
      </w:r>
      <w:r>
        <w:t xml:space="preserve"> </w:t>
      </w:r>
      <w:r w:rsidRPr="00184E1F">
        <w:rPr>
          <w:u w:val="single"/>
        </w:rPr>
        <w:t>Healthcare Policy</w:t>
      </w:r>
      <w:r>
        <w:t xml:space="preserve"> 8 (3)</w:t>
      </w:r>
      <w:r w:rsidR="000B12B7">
        <w:t xml:space="preserve">, </w:t>
      </w:r>
      <w:r w:rsidR="000B12B7" w:rsidRPr="000B12B7">
        <w:t>27–41a</w:t>
      </w:r>
      <w:r>
        <w:t xml:space="preserve">. </w:t>
      </w:r>
    </w:p>
    <w:p w14:paraId="1EF47635" w14:textId="27574DF5" w:rsidR="00915A47" w:rsidRDefault="00915A47" w:rsidP="003B40F6">
      <w:pPr>
        <w:spacing w:line="480" w:lineRule="auto"/>
      </w:pPr>
      <w:r>
        <w:t>World Health Organisation</w:t>
      </w:r>
      <w:r w:rsidRPr="00A84F6E">
        <w:t xml:space="preserve"> </w:t>
      </w:r>
      <w:r>
        <w:t>(</w:t>
      </w:r>
      <w:r w:rsidRPr="00A84F6E">
        <w:t>1948</w:t>
      </w:r>
      <w:r>
        <w:t xml:space="preserve">) “What is the WHO definition of </w:t>
      </w:r>
      <w:r w:rsidR="009A650B">
        <w:t>h</w:t>
      </w:r>
      <w:r>
        <w:t>ealth?” Retrieved 9</w:t>
      </w:r>
      <w:r w:rsidRPr="00915A47">
        <w:rPr>
          <w:vertAlign w:val="superscript"/>
        </w:rPr>
        <w:t>th</w:t>
      </w:r>
      <w:r>
        <w:t xml:space="preserve"> January </w:t>
      </w:r>
      <w:r w:rsidR="00AF0FC6">
        <w:t xml:space="preserve">2018 </w:t>
      </w:r>
      <w:r>
        <w:t xml:space="preserve">from </w:t>
      </w:r>
      <w:hyperlink r:id="rId15" w:history="1">
        <w:r w:rsidRPr="00D64E78">
          <w:rPr>
            <w:rStyle w:val="Hyperlink"/>
          </w:rPr>
          <w:t>http://www.who.int/suggestions/faq/en/</w:t>
        </w:r>
      </w:hyperlink>
      <w:r>
        <w:t xml:space="preserve"> </w:t>
      </w:r>
    </w:p>
    <w:p w14:paraId="0D43A5AD" w14:textId="2EE4B8CD" w:rsidR="00F73F0A" w:rsidRPr="005A5118" w:rsidRDefault="00C86B3E" w:rsidP="003B40F6">
      <w:pPr>
        <w:spacing w:line="480" w:lineRule="auto"/>
        <w:rPr>
          <w:highlight w:val="yellow"/>
        </w:rPr>
      </w:pPr>
      <w:proofErr w:type="gramStart"/>
      <w:r w:rsidRPr="00C86B3E">
        <w:t>World Health Organisation (201</w:t>
      </w:r>
      <w:r>
        <w:t>8</w:t>
      </w:r>
      <w:r w:rsidRPr="00C86B3E">
        <w:t xml:space="preserve">) </w:t>
      </w:r>
      <w:r w:rsidRPr="00E263C5">
        <w:rPr>
          <w:u w:val="single"/>
        </w:rPr>
        <w:t>Health Systems Strengthening Glossary</w:t>
      </w:r>
      <w:r>
        <w:t>.</w:t>
      </w:r>
      <w:proofErr w:type="gramEnd"/>
      <w:r>
        <w:t xml:space="preserve"> Retrieved 9</w:t>
      </w:r>
      <w:r w:rsidRPr="008E3E03">
        <w:rPr>
          <w:vertAlign w:val="superscript"/>
        </w:rPr>
        <w:t>th</w:t>
      </w:r>
      <w:r>
        <w:t xml:space="preserve"> January 2018 from </w:t>
      </w:r>
      <w:hyperlink r:id="rId16" w:history="1">
        <w:r w:rsidRPr="00343EA9">
          <w:rPr>
            <w:rStyle w:val="Hyperlink"/>
          </w:rPr>
          <w:t>http://www.who.int/healthsystems/hss_glossary/en/index6.html</w:t>
        </w:r>
      </w:hyperlink>
      <w:r>
        <w:t xml:space="preserve"> </w:t>
      </w:r>
    </w:p>
    <w:sectPr w:rsidR="00F73F0A" w:rsidRPr="005A511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19B01" w14:textId="77777777" w:rsidR="00661631" w:rsidRDefault="00661631" w:rsidP="003C550B">
      <w:r>
        <w:separator/>
      </w:r>
    </w:p>
  </w:endnote>
  <w:endnote w:type="continuationSeparator" w:id="0">
    <w:p w14:paraId="13456AA7" w14:textId="77777777" w:rsidR="00661631" w:rsidRDefault="00661631" w:rsidP="003C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altName w:val="Arial"/>
    <w:charset w:val="00"/>
    <w:family w:val="swiss"/>
    <w:pitch w:val="variable"/>
    <w:sig w:usb0="E0002AFF" w:usb1="C000247B" w:usb2="00000009" w:usb3="00000000" w:csb0="000001FF" w:csb1="00000000"/>
  </w:font>
  <w:font w:name="Segoe UI">
    <w:altName w:val="Courier New"/>
    <w:charset w:val="00"/>
    <w:family w:val="swiss"/>
    <w:pitch w:val="variable"/>
    <w:sig w:usb0="E4002EFF" w:usb1="C000E47F"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843526"/>
      <w:docPartObj>
        <w:docPartGallery w:val="Page Numbers (Bottom of Page)"/>
        <w:docPartUnique/>
      </w:docPartObj>
    </w:sdtPr>
    <w:sdtEndPr>
      <w:rPr>
        <w:noProof/>
      </w:rPr>
    </w:sdtEndPr>
    <w:sdtContent>
      <w:p w14:paraId="4B4838D6" w14:textId="3452FEAE" w:rsidR="00661631" w:rsidRDefault="00661631">
        <w:pPr>
          <w:pStyle w:val="Footer"/>
        </w:pPr>
        <w:r>
          <w:fldChar w:fldCharType="begin"/>
        </w:r>
        <w:r>
          <w:instrText xml:space="preserve"> PAGE   \* MERGEFORMAT </w:instrText>
        </w:r>
        <w:r>
          <w:fldChar w:fldCharType="separate"/>
        </w:r>
        <w:r w:rsidR="00557AB3">
          <w:rPr>
            <w:noProof/>
          </w:rPr>
          <w:t>14</w:t>
        </w:r>
        <w:r>
          <w:rPr>
            <w:noProof/>
          </w:rPr>
          <w:fldChar w:fldCharType="end"/>
        </w:r>
      </w:p>
    </w:sdtContent>
  </w:sdt>
  <w:p w14:paraId="2CB94801" w14:textId="77777777" w:rsidR="00661631" w:rsidRDefault="006616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1BB33" w14:textId="77777777" w:rsidR="00661631" w:rsidRDefault="00661631" w:rsidP="003C550B">
      <w:r>
        <w:separator/>
      </w:r>
    </w:p>
  </w:footnote>
  <w:footnote w:type="continuationSeparator" w:id="0">
    <w:p w14:paraId="0ABACA48" w14:textId="77777777" w:rsidR="00661631" w:rsidRDefault="00661631" w:rsidP="003C55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AF"/>
    <w:multiLevelType w:val="hybridMultilevel"/>
    <w:tmpl w:val="5BF2D11A"/>
    <w:lvl w:ilvl="0" w:tplc="86BA37F0">
      <w:start w:val="1"/>
      <w:numFmt w:val="decimal"/>
      <w:lvlText w:val="%1."/>
      <w:lvlJc w:val="left"/>
      <w:pPr>
        <w:ind w:left="3828" w:hanging="360"/>
      </w:pPr>
      <w:rPr>
        <w:i w:val="0"/>
        <w:color w:val="000000" w:themeColor="text1"/>
      </w:rPr>
    </w:lvl>
    <w:lvl w:ilvl="1" w:tplc="04090019" w:tentative="1">
      <w:start w:val="1"/>
      <w:numFmt w:val="lowerLetter"/>
      <w:lvlText w:val="%2."/>
      <w:lvlJc w:val="left"/>
      <w:pPr>
        <w:ind w:left="4548" w:hanging="360"/>
      </w:pPr>
    </w:lvl>
    <w:lvl w:ilvl="2" w:tplc="0409001B" w:tentative="1">
      <w:start w:val="1"/>
      <w:numFmt w:val="lowerRoman"/>
      <w:lvlText w:val="%3."/>
      <w:lvlJc w:val="right"/>
      <w:pPr>
        <w:ind w:left="5268" w:hanging="180"/>
      </w:pPr>
    </w:lvl>
    <w:lvl w:ilvl="3" w:tplc="0409000F" w:tentative="1">
      <w:start w:val="1"/>
      <w:numFmt w:val="decimal"/>
      <w:lvlText w:val="%4."/>
      <w:lvlJc w:val="left"/>
      <w:pPr>
        <w:ind w:left="5988" w:hanging="360"/>
      </w:pPr>
    </w:lvl>
    <w:lvl w:ilvl="4" w:tplc="04090019" w:tentative="1">
      <w:start w:val="1"/>
      <w:numFmt w:val="lowerLetter"/>
      <w:lvlText w:val="%5."/>
      <w:lvlJc w:val="left"/>
      <w:pPr>
        <w:ind w:left="6708" w:hanging="360"/>
      </w:pPr>
    </w:lvl>
    <w:lvl w:ilvl="5" w:tplc="0409001B" w:tentative="1">
      <w:start w:val="1"/>
      <w:numFmt w:val="lowerRoman"/>
      <w:lvlText w:val="%6."/>
      <w:lvlJc w:val="right"/>
      <w:pPr>
        <w:ind w:left="7428" w:hanging="180"/>
      </w:pPr>
    </w:lvl>
    <w:lvl w:ilvl="6" w:tplc="0409000F" w:tentative="1">
      <w:start w:val="1"/>
      <w:numFmt w:val="decimal"/>
      <w:lvlText w:val="%7."/>
      <w:lvlJc w:val="left"/>
      <w:pPr>
        <w:ind w:left="8148" w:hanging="360"/>
      </w:pPr>
    </w:lvl>
    <w:lvl w:ilvl="7" w:tplc="04090019" w:tentative="1">
      <w:start w:val="1"/>
      <w:numFmt w:val="lowerLetter"/>
      <w:lvlText w:val="%8."/>
      <w:lvlJc w:val="left"/>
      <w:pPr>
        <w:ind w:left="8868" w:hanging="360"/>
      </w:pPr>
    </w:lvl>
    <w:lvl w:ilvl="8" w:tplc="0409001B" w:tentative="1">
      <w:start w:val="1"/>
      <w:numFmt w:val="lowerRoman"/>
      <w:lvlText w:val="%9."/>
      <w:lvlJc w:val="right"/>
      <w:pPr>
        <w:ind w:left="9588" w:hanging="180"/>
      </w:pPr>
    </w:lvl>
  </w:abstractNum>
  <w:abstractNum w:abstractNumId="1">
    <w:nsid w:val="04224739"/>
    <w:multiLevelType w:val="hybridMultilevel"/>
    <w:tmpl w:val="43880C3E"/>
    <w:lvl w:ilvl="0" w:tplc="B7AA712E">
      <w:numFmt w:val="bullet"/>
      <w:lvlText w:val="-"/>
      <w:lvlJc w:val="left"/>
      <w:pPr>
        <w:ind w:left="720" w:hanging="360"/>
      </w:pPr>
      <w:rPr>
        <w:rFonts w:ascii="Calibri" w:eastAsiaTheme="minorEastAsia" w:hAnsi="Calibri" w:cstheme="minorBidi"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669BB"/>
    <w:multiLevelType w:val="hybridMultilevel"/>
    <w:tmpl w:val="16A88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F76C96"/>
    <w:multiLevelType w:val="hybridMultilevel"/>
    <w:tmpl w:val="EDD8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46740B"/>
    <w:multiLevelType w:val="hybridMultilevel"/>
    <w:tmpl w:val="A9804722"/>
    <w:lvl w:ilvl="0" w:tplc="ABE61DF6">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B968C5"/>
    <w:multiLevelType w:val="hybridMultilevel"/>
    <w:tmpl w:val="E12E21E8"/>
    <w:lvl w:ilvl="0" w:tplc="CAF84B30">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2B4F0E"/>
    <w:multiLevelType w:val="multilevel"/>
    <w:tmpl w:val="1F1E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E75FD4"/>
    <w:multiLevelType w:val="hybridMultilevel"/>
    <w:tmpl w:val="1F729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B66E6F"/>
    <w:multiLevelType w:val="hybridMultilevel"/>
    <w:tmpl w:val="CEF2B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A886002"/>
    <w:multiLevelType w:val="hybridMultilevel"/>
    <w:tmpl w:val="96C46014"/>
    <w:lvl w:ilvl="0" w:tplc="55F4EB4E">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FCF48D9"/>
    <w:multiLevelType w:val="hybridMultilevel"/>
    <w:tmpl w:val="FC40C240"/>
    <w:lvl w:ilvl="0" w:tplc="B69C2168">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FA6817"/>
    <w:multiLevelType w:val="hybridMultilevel"/>
    <w:tmpl w:val="52563788"/>
    <w:lvl w:ilvl="0" w:tplc="B7AA712E">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587EA9"/>
    <w:multiLevelType w:val="hybridMultilevel"/>
    <w:tmpl w:val="C9A8C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7"/>
  </w:num>
  <w:num w:numId="5">
    <w:abstractNumId w:val="4"/>
  </w:num>
  <w:num w:numId="6">
    <w:abstractNumId w:val="5"/>
  </w:num>
  <w:num w:numId="7">
    <w:abstractNumId w:val="10"/>
  </w:num>
  <w:num w:numId="8">
    <w:abstractNumId w:val="9"/>
  </w:num>
  <w:num w:numId="9">
    <w:abstractNumId w:val="0"/>
  </w:num>
  <w:num w:numId="10">
    <w:abstractNumId w:val="8"/>
  </w:num>
  <w:num w:numId="11">
    <w:abstractNumId w:val="3"/>
  </w:num>
  <w:num w:numId="12">
    <w:abstractNumId w:val="2"/>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elaos Gkartzios">
    <w15:presenceInfo w15:providerId="AD" w15:userId="S-1-5-21-1417001333-839522115-1801674531-210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0F"/>
    <w:rsid w:val="00011660"/>
    <w:rsid w:val="00014E09"/>
    <w:rsid w:val="00016993"/>
    <w:rsid w:val="00016C45"/>
    <w:rsid w:val="00016E4C"/>
    <w:rsid w:val="0002020C"/>
    <w:rsid w:val="00026EBA"/>
    <w:rsid w:val="00027B36"/>
    <w:rsid w:val="00034498"/>
    <w:rsid w:val="00035F36"/>
    <w:rsid w:val="00036C14"/>
    <w:rsid w:val="00046C32"/>
    <w:rsid w:val="000474C0"/>
    <w:rsid w:val="00051427"/>
    <w:rsid w:val="00052FAA"/>
    <w:rsid w:val="000561E7"/>
    <w:rsid w:val="00060A20"/>
    <w:rsid w:val="00061DE5"/>
    <w:rsid w:val="0006453E"/>
    <w:rsid w:val="000646EF"/>
    <w:rsid w:val="00065453"/>
    <w:rsid w:val="00066470"/>
    <w:rsid w:val="00080CEE"/>
    <w:rsid w:val="00083E2C"/>
    <w:rsid w:val="000848A0"/>
    <w:rsid w:val="00086BE2"/>
    <w:rsid w:val="00091B8A"/>
    <w:rsid w:val="00092FD1"/>
    <w:rsid w:val="000951FA"/>
    <w:rsid w:val="00096C8B"/>
    <w:rsid w:val="000A0F14"/>
    <w:rsid w:val="000A1447"/>
    <w:rsid w:val="000A1580"/>
    <w:rsid w:val="000A24BB"/>
    <w:rsid w:val="000B12B7"/>
    <w:rsid w:val="000B5D25"/>
    <w:rsid w:val="000B60BB"/>
    <w:rsid w:val="000B7C19"/>
    <w:rsid w:val="000C7030"/>
    <w:rsid w:val="000C7D87"/>
    <w:rsid w:val="000D1552"/>
    <w:rsid w:val="000D61FC"/>
    <w:rsid w:val="000E1B6F"/>
    <w:rsid w:val="000E3BE3"/>
    <w:rsid w:val="000E5807"/>
    <w:rsid w:val="000F01DD"/>
    <w:rsid w:val="000F0BF4"/>
    <w:rsid w:val="000F511A"/>
    <w:rsid w:val="00103879"/>
    <w:rsid w:val="00105CB8"/>
    <w:rsid w:val="001067FA"/>
    <w:rsid w:val="00116EB4"/>
    <w:rsid w:val="00127DDD"/>
    <w:rsid w:val="00140BBB"/>
    <w:rsid w:val="00145299"/>
    <w:rsid w:val="00151CE5"/>
    <w:rsid w:val="00162C3B"/>
    <w:rsid w:val="00163555"/>
    <w:rsid w:val="00163CCD"/>
    <w:rsid w:val="00165D55"/>
    <w:rsid w:val="0017233D"/>
    <w:rsid w:val="0018103E"/>
    <w:rsid w:val="00181A81"/>
    <w:rsid w:val="0018470A"/>
    <w:rsid w:val="00184E1F"/>
    <w:rsid w:val="001861FF"/>
    <w:rsid w:val="0019039C"/>
    <w:rsid w:val="0019268F"/>
    <w:rsid w:val="001A7113"/>
    <w:rsid w:val="001B762C"/>
    <w:rsid w:val="001C447A"/>
    <w:rsid w:val="001D0F59"/>
    <w:rsid w:val="001D1E6B"/>
    <w:rsid w:val="001D3C06"/>
    <w:rsid w:val="001D4217"/>
    <w:rsid w:val="001D4A2E"/>
    <w:rsid w:val="001D6A6E"/>
    <w:rsid w:val="001F2414"/>
    <w:rsid w:val="002001A2"/>
    <w:rsid w:val="0021127B"/>
    <w:rsid w:val="00213227"/>
    <w:rsid w:val="002140E0"/>
    <w:rsid w:val="002207A5"/>
    <w:rsid w:val="00220A39"/>
    <w:rsid w:val="00222061"/>
    <w:rsid w:val="002271A6"/>
    <w:rsid w:val="0022775C"/>
    <w:rsid w:val="00230AF2"/>
    <w:rsid w:val="00237314"/>
    <w:rsid w:val="00237CD0"/>
    <w:rsid w:val="00252FB0"/>
    <w:rsid w:val="00256207"/>
    <w:rsid w:val="00256768"/>
    <w:rsid w:val="00260E4B"/>
    <w:rsid w:val="00265E0A"/>
    <w:rsid w:val="0027285D"/>
    <w:rsid w:val="00273442"/>
    <w:rsid w:val="00280521"/>
    <w:rsid w:val="00280958"/>
    <w:rsid w:val="00282CC8"/>
    <w:rsid w:val="00284198"/>
    <w:rsid w:val="002845A1"/>
    <w:rsid w:val="00286C01"/>
    <w:rsid w:val="00293DB2"/>
    <w:rsid w:val="00296E2D"/>
    <w:rsid w:val="002A17BD"/>
    <w:rsid w:val="002B41B5"/>
    <w:rsid w:val="002B5215"/>
    <w:rsid w:val="002C2677"/>
    <w:rsid w:val="002C27C5"/>
    <w:rsid w:val="002C44FB"/>
    <w:rsid w:val="002C4523"/>
    <w:rsid w:val="002C64EB"/>
    <w:rsid w:val="002C689E"/>
    <w:rsid w:val="002C6D13"/>
    <w:rsid w:val="002C756D"/>
    <w:rsid w:val="002D6BEC"/>
    <w:rsid w:val="002E2199"/>
    <w:rsid w:val="002E2B59"/>
    <w:rsid w:val="002E4E2B"/>
    <w:rsid w:val="002F4DED"/>
    <w:rsid w:val="003032FD"/>
    <w:rsid w:val="00304774"/>
    <w:rsid w:val="00310999"/>
    <w:rsid w:val="00321B7A"/>
    <w:rsid w:val="003239C8"/>
    <w:rsid w:val="00323F1F"/>
    <w:rsid w:val="0032720B"/>
    <w:rsid w:val="0033011F"/>
    <w:rsid w:val="00333F19"/>
    <w:rsid w:val="0034323E"/>
    <w:rsid w:val="00344922"/>
    <w:rsid w:val="0034504B"/>
    <w:rsid w:val="003467AD"/>
    <w:rsid w:val="00347F57"/>
    <w:rsid w:val="00353799"/>
    <w:rsid w:val="00357FBE"/>
    <w:rsid w:val="0036222C"/>
    <w:rsid w:val="00362AD0"/>
    <w:rsid w:val="00367C3E"/>
    <w:rsid w:val="00372648"/>
    <w:rsid w:val="00376319"/>
    <w:rsid w:val="003808EA"/>
    <w:rsid w:val="0038234D"/>
    <w:rsid w:val="00386A50"/>
    <w:rsid w:val="003878B0"/>
    <w:rsid w:val="00391C7C"/>
    <w:rsid w:val="003A0960"/>
    <w:rsid w:val="003A1D39"/>
    <w:rsid w:val="003A32FE"/>
    <w:rsid w:val="003A461D"/>
    <w:rsid w:val="003A6638"/>
    <w:rsid w:val="003B1C6C"/>
    <w:rsid w:val="003B2964"/>
    <w:rsid w:val="003B40F6"/>
    <w:rsid w:val="003C550B"/>
    <w:rsid w:val="003C7F8E"/>
    <w:rsid w:val="003D44C6"/>
    <w:rsid w:val="003F0DF8"/>
    <w:rsid w:val="003F2766"/>
    <w:rsid w:val="003F2948"/>
    <w:rsid w:val="003F457D"/>
    <w:rsid w:val="003F45A9"/>
    <w:rsid w:val="00415BF4"/>
    <w:rsid w:val="0042027E"/>
    <w:rsid w:val="00420697"/>
    <w:rsid w:val="004212D8"/>
    <w:rsid w:val="00424F12"/>
    <w:rsid w:val="0042647B"/>
    <w:rsid w:val="004342A8"/>
    <w:rsid w:val="004517C9"/>
    <w:rsid w:val="00451D21"/>
    <w:rsid w:val="004547AC"/>
    <w:rsid w:val="0045674D"/>
    <w:rsid w:val="004600FC"/>
    <w:rsid w:val="0046680F"/>
    <w:rsid w:val="004705A6"/>
    <w:rsid w:val="0048036F"/>
    <w:rsid w:val="0048285D"/>
    <w:rsid w:val="0049470C"/>
    <w:rsid w:val="004978B9"/>
    <w:rsid w:val="004A4403"/>
    <w:rsid w:val="004B0FD4"/>
    <w:rsid w:val="004C2E65"/>
    <w:rsid w:val="004C35B4"/>
    <w:rsid w:val="004C4B38"/>
    <w:rsid w:val="004C74F1"/>
    <w:rsid w:val="004E031C"/>
    <w:rsid w:val="004E2B8E"/>
    <w:rsid w:val="004E3894"/>
    <w:rsid w:val="004E5532"/>
    <w:rsid w:val="004E5CC6"/>
    <w:rsid w:val="004F4451"/>
    <w:rsid w:val="00500CB0"/>
    <w:rsid w:val="00512D2A"/>
    <w:rsid w:val="00516C08"/>
    <w:rsid w:val="00520203"/>
    <w:rsid w:val="00523BA2"/>
    <w:rsid w:val="00525340"/>
    <w:rsid w:val="00527880"/>
    <w:rsid w:val="00540887"/>
    <w:rsid w:val="00543DED"/>
    <w:rsid w:val="00553124"/>
    <w:rsid w:val="00556C8E"/>
    <w:rsid w:val="00557AB3"/>
    <w:rsid w:val="00557AE2"/>
    <w:rsid w:val="005676F5"/>
    <w:rsid w:val="00581C71"/>
    <w:rsid w:val="005870ED"/>
    <w:rsid w:val="00593256"/>
    <w:rsid w:val="00593727"/>
    <w:rsid w:val="005A5118"/>
    <w:rsid w:val="005B2747"/>
    <w:rsid w:val="005C76C1"/>
    <w:rsid w:val="005C7C31"/>
    <w:rsid w:val="005D0A68"/>
    <w:rsid w:val="005E6DAA"/>
    <w:rsid w:val="00604A3A"/>
    <w:rsid w:val="00620E9D"/>
    <w:rsid w:val="00634144"/>
    <w:rsid w:val="00640004"/>
    <w:rsid w:val="00640EEF"/>
    <w:rsid w:val="006412C8"/>
    <w:rsid w:val="00643E3C"/>
    <w:rsid w:val="00652C99"/>
    <w:rsid w:val="00653886"/>
    <w:rsid w:val="0065567E"/>
    <w:rsid w:val="006560A7"/>
    <w:rsid w:val="006575EC"/>
    <w:rsid w:val="00660266"/>
    <w:rsid w:val="00660DED"/>
    <w:rsid w:val="00661631"/>
    <w:rsid w:val="0066496B"/>
    <w:rsid w:val="0068012F"/>
    <w:rsid w:val="006A2EE7"/>
    <w:rsid w:val="006A57C2"/>
    <w:rsid w:val="006B5F1A"/>
    <w:rsid w:val="006C50FB"/>
    <w:rsid w:val="006C6CE5"/>
    <w:rsid w:val="006C784D"/>
    <w:rsid w:val="006D2BEA"/>
    <w:rsid w:val="006D46FF"/>
    <w:rsid w:val="006D595F"/>
    <w:rsid w:val="006D5B74"/>
    <w:rsid w:val="006E0D1C"/>
    <w:rsid w:val="006E1365"/>
    <w:rsid w:val="006E306E"/>
    <w:rsid w:val="006F21B9"/>
    <w:rsid w:val="00706D8A"/>
    <w:rsid w:val="00712C15"/>
    <w:rsid w:val="00716A60"/>
    <w:rsid w:val="00721A02"/>
    <w:rsid w:val="00725028"/>
    <w:rsid w:val="00750394"/>
    <w:rsid w:val="007505D1"/>
    <w:rsid w:val="007510E4"/>
    <w:rsid w:val="0075404D"/>
    <w:rsid w:val="00756EC2"/>
    <w:rsid w:val="00757859"/>
    <w:rsid w:val="007772DA"/>
    <w:rsid w:val="00791D0B"/>
    <w:rsid w:val="007A5A80"/>
    <w:rsid w:val="007A5E2B"/>
    <w:rsid w:val="007B36C5"/>
    <w:rsid w:val="007B4A23"/>
    <w:rsid w:val="007B6991"/>
    <w:rsid w:val="007D5462"/>
    <w:rsid w:val="007E43C5"/>
    <w:rsid w:val="007F024A"/>
    <w:rsid w:val="007F0459"/>
    <w:rsid w:val="0080014B"/>
    <w:rsid w:val="00803CA8"/>
    <w:rsid w:val="00810C7E"/>
    <w:rsid w:val="00811502"/>
    <w:rsid w:val="00811514"/>
    <w:rsid w:val="00814F5F"/>
    <w:rsid w:val="008156D5"/>
    <w:rsid w:val="008247C9"/>
    <w:rsid w:val="00827401"/>
    <w:rsid w:val="00831CCD"/>
    <w:rsid w:val="00834AF6"/>
    <w:rsid w:val="0083775D"/>
    <w:rsid w:val="00850A5F"/>
    <w:rsid w:val="00851964"/>
    <w:rsid w:val="00853555"/>
    <w:rsid w:val="008545B7"/>
    <w:rsid w:val="008567F2"/>
    <w:rsid w:val="00861B82"/>
    <w:rsid w:val="008711E1"/>
    <w:rsid w:val="00871746"/>
    <w:rsid w:val="00874305"/>
    <w:rsid w:val="008757D9"/>
    <w:rsid w:val="00877054"/>
    <w:rsid w:val="008938CC"/>
    <w:rsid w:val="00895841"/>
    <w:rsid w:val="0089632F"/>
    <w:rsid w:val="00897954"/>
    <w:rsid w:val="008A7DAA"/>
    <w:rsid w:val="008B0798"/>
    <w:rsid w:val="008B6DB7"/>
    <w:rsid w:val="008B78E4"/>
    <w:rsid w:val="008C06E9"/>
    <w:rsid w:val="008C7E4A"/>
    <w:rsid w:val="008C7FB0"/>
    <w:rsid w:val="008D2867"/>
    <w:rsid w:val="008D2D16"/>
    <w:rsid w:val="008D3761"/>
    <w:rsid w:val="008D3CF0"/>
    <w:rsid w:val="008D7164"/>
    <w:rsid w:val="008E3E03"/>
    <w:rsid w:val="008E61CA"/>
    <w:rsid w:val="008E6C73"/>
    <w:rsid w:val="008F390D"/>
    <w:rsid w:val="008F65F7"/>
    <w:rsid w:val="00902E3B"/>
    <w:rsid w:val="00913511"/>
    <w:rsid w:val="009136FF"/>
    <w:rsid w:val="0091539F"/>
    <w:rsid w:val="00915774"/>
    <w:rsid w:val="00915A47"/>
    <w:rsid w:val="00917EB4"/>
    <w:rsid w:val="00922484"/>
    <w:rsid w:val="00936A82"/>
    <w:rsid w:val="00941E7A"/>
    <w:rsid w:val="00943B07"/>
    <w:rsid w:val="009442C1"/>
    <w:rsid w:val="00946CD1"/>
    <w:rsid w:val="00953632"/>
    <w:rsid w:val="0096486B"/>
    <w:rsid w:val="00965C82"/>
    <w:rsid w:val="00970B6E"/>
    <w:rsid w:val="00971E7D"/>
    <w:rsid w:val="00972157"/>
    <w:rsid w:val="00974E0D"/>
    <w:rsid w:val="009773E9"/>
    <w:rsid w:val="00984068"/>
    <w:rsid w:val="00990BD4"/>
    <w:rsid w:val="00991CB4"/>
    <w:rsid w:val="009A3385"/>
    <w:rsid w:val="009A650B"/>
    <w:rsid w:val="009C155A"/>
    <w:rsid w:val="009C4B23"/>
    <w:rsid w:val="009C4F38"/>
    <w:rsid w:val="009D0E3A"/>
    <w:rsid w:val="009D33E3"/>
    <w:rsid w:val="009E066F"/>
    <w:rsid w:val="009E20F2"/>
    <w:rsid w:val="009E3B3F"/>
    <w:rsid w:val="009F25B0"/>
    <w:rsid w:val="009F5A1A"/>
    <w:rsid w:val="00A00010"/>
    <w:rsid w:val="00A10BBB"/>
    <w:rsid w:val="00A13D7E"/>
    <w:rsid w:val="00A2006F"/>
    <w:rsid w:val="00A259BC"/>
    <w:rsid w:val="00A279C4"/>
    <w:rsid w:val="00A314A0"/>
    <w:rsid w:val="00A36EFF"/>
    <w:rsid w:val="00A3738D"/>
    <w:rsid w:val="00A45A64"/>
    <w:rsid w:val="00A5335F"/>
    <w:rsid w:val="00A63873"/>
    <w:rsid w:val="00A64E1F"/>
    <w:rsid w:val="00A65DFD"/>
    <w:rsid w:val="00A755ED"/>
    <w:rsid w:val="00A75637"/>
    <w:rsid w:val="00A84F6E"/>
    <w:rsid w:val="00A909C3"/>
    <w:rsid w:val="00A9579A"/>
    <w:rsid w:val="00AA0261"/>
    <w:rsid w:val="00AA402E"/>
    <w:rsid w:val="00AB0548"/>
    <w:rsid w:val="00AB0D97"/>
    <w:rsid w:val="00AB5C24"/>
    <w:rsid w:val="00AB7354"/>
    <w:rsid w:val="00AC270B"/>
    <w:rsid w:val="00AC331C"/>
    <w:rsid w:val="00AC76B9"/>
    <w:rsid w:val="00AD1499"/>
    <w:rsid w:val="00AD329E"/>
    <w:rsid w:val="00AD6A06"/>
    <w:rsid w:val="00AD6B39"/>
    <w:rsid w:val="00AE11B8"/>
    <w:rsid w:val="00AE193E"/>
    <w:rsid w:val="00AE322D"/>
    <w:rsid w:val="00AE4B2D"/>
    <w:rsid w:val="00AF0FC6"/>
    <w:rsid w:val="00AF47CE"/>
    <w:rsid w:val="00B10ABF"/>
    <w:rsid w:val="00B1110F"/>
    <w:rsid w:val="00B13618"/>
    <w:rsid w:val="00B1765F"/>
    <w:rsid w:val="00B206BD"/>
    <w:rsid w:val="00B20A87"/>
    <w:rsid w:val="00B27006"/>
    <w:rsid w:val="00B40625"/>
    <w:rsid w:val="00B41E23"/>
    <w:rsid w:val="00B46A28"/>
    <w:rsid w:val="00B5144F"/>
    <w:rsid w:val="00B51461"/>
    <w:rsid w:val="00B5557C"/>
    <w:rsid w:val="00B64261"/>
    <w:rsid w:val="00B76E64"/>
    <w:rsid w:val="00B84E08"/>
    <w:rsid w:val="00B85E25"/>
    <w:rsid w:val="00B96B88"/>
    <w:rsid w:val="00B97D1B"/>
    <w:rsid w:val="00BA0682"/>
    <w:rsid w:val="00BB10FB"/>
    <w:rsid w:val="00BB2381"/>
    <w:rsid w:val="00BB40CB"/>
    <w:rsid w:val="00BB484B"/>
    <w:rsid w:val="00BB6EA2"/>
    <w:rsid w:val="00BD0471"/>
    <w:rsid w:val="00BD4E93"/>
    <w:rsid w:val="00BD7928"/>
    <w:rsid w:val="00BE4025"/>
    <w:rsid w:val="00BF46E4"/>
    <w:rsid w:val="00BF5F2A"/>
    <w:rsid w:val="00C00779"/>
    <w:rsid w:val="00C133B0"/>
    <w:rsid w:val="00C23D8D"/>
    <w:rsid w:val="00C30E58"/>
    <w:rsid w:val="00C3240A"/>
    <w:rsid w:val="00C3788E"/>
    <w:rsid w:val="00C37FD4"/>
    <w:rsid w:val="00C42DD8"/>
    <w:rsid w:val="00C44525"/>
    <w:rsid w:val="00C629A2"/>
    <w:rsid w:val="00C63417"/>
    <w:rsid w:val="00C63E5F"/>
    <w:rsid w:val="00C67746"/>
    <w:rsid w:val="00C764FD"/>
    <w:rsid w:val="00C80F69"/>
    <w:rsid w:val="00C819AC"/>
    <w:rsid w:val="00C819DC"/>
    <w:rsid w:val="00C86B3E"/>
    <w:rsid w:val="00C923F1"/>
    <w:rsid w:val="00C92EBA"/>
    <w:rsid w:val="00C9715D"/>
    <w:rsid w:val="00CB4102"/>
    <w:rsid w:val="00CB6E76"/>
    <w:rsid w:val="00CC0E92"/>
    <w:rsid w:val="00CC355D"/>
    <w:rsid w:val="00CD2F85"/>
    <w:rsid w:val="00CE1754"/>
    <w:rsid w:val="00CF2EC0"/>
    <w:rsid w:val="00CF3BFD"/>
    <w:rsid w:val="00D02A9C"/>
    <w:rsid w:val="00D047F8"/>
    <w:rsid w:val="00D04A7D"/>
    <w:rsid w:val="00D1010B"/>
    <w:rsid w:val="00D10715"/>
    <w:rsid w:val="00D10903"/>
    <w:rsid w:val="00D168AD"/>
    <w:rsid w:val="00D25769"/>
    <w:rsid w:val="00D439B5"/>
    <w:rsid w:val="00D5409C"/>
    <w:rsid w:val="00D56CD7"/>
    <w:rsid w:val="00D61B71"/>
    <w:rsid w:val="00D70AF9"/>
    <w:rsid w:val="00D720DE"/>
    <w:rsid w:val="00D7356E"/>
    <w:rsid w:val="00D77FF4"/>
    <w:rsid w:val="00D8516F"/>
    <w:rsid w:val="00D90E0E"/>
    <w:rsid w:val="00D91CAC"/>
    <w:rsid w:val="00D95260"/>
    <w:rsid w:val="00D95C30"/>
    <w:rsid w:val="00DA3721"/>
    <w:rsid w:val="00DA6272"/>
    <w:rsid w:val="00DA7935"/>
    <w:rsid w:val="00DB4BAC"/>
    <w:rsid w:val="00DC2626"/>
    <w:rsid w:val="00DC654B"/>
    <w:rsid w:val="00DD20D5"/>
    <w:rsid w:val="00DD2291"/>
    <w:rsid w:val="00DD2F8C"/>
    <w:rsid w:val="00DD4778"/>
    <w:rsid w:val="00DE43C3"/>
    <w:rsid w:val="00DE5284"/>
    <w:rsid w:val="00E0513B"/>
    <w:rsid w:val="00E05AE8"/>
    <w:rsid w:val="00E06A7F"/>
    <w:rsid w:val="00E1239F"/>
    <w:rsid w:val="00E17C7E"/>
    <w:rsid w:val="00E263C5"/>
    <w:rsid w:val="00E3312A"/>
    <w:rsid w:val="00E36A0A"/>
    <w:rsid w:val="00E37720"/>
    <w:rsid w:val="00E4199E"/>
    <w:rsid w:val="00E55581"/>
    <w:rsid w:val="00E57C31"/>
    <w:rsid w:val="00E611ED"/>
    <w:rsid w:val="00E61A1D"/>
    <w:rsid w:val="00E62036"/>
    <w:rsid w:val="00E712C5"/>
    <w:rsid w:val="00E808BE"/>
    <w:rsid w:val="00E82221"/>
    <w:rsid w:val="00E825B3"/>
    <w:rsid w:val="00E86587"/>
    <w:rsid w:val="00E90504"/>
    <w:rsid w:val="00E9543A"/>
    <w:rsid w:val="00EB4027"/>
    <w:rsid w:val="00EC2147"/>
    <w:rsid w:val="00EC3821"/>
    <w:rsid w:val="00EC4716"/>
    <w:rsid w:val="00EC4DC1"/>
    <w:rsid w:val="00ED42CD"/>
    <w:rsid w:val="00EF0B00"/>
    <w:rsid w:val="00EF25E2"/>
    <w:rsid w:val="00EF3570"/>
    <w:rsid w:val="00EF4990"/>
    <w:rsid w:val="00EF4C68"/>
    <w:rsid w:val="00EF6C76"/>
    <w:rsid w:val="00F15B86"/>
    <w:rsid w:val="00F1685F"/>
    <w:rsid w:val="00F2108E"/>
    <w:rsid w:val="00F22CF4"/>
    <w:rsid w:val="00F23478"/>
    <w:rsid w:val="00F24F95"/>
    <w:rsid w:val="00F32BD9"/>
    <w:rsid w:val="00F35EB7"/>
    <w:rsid w:val="00F363BC"/>
    <w:rsid w:val="00F524C1"/>
    <w:rsid w:val="00F53426"/>
    <w:rsid w:val="00F571B7"/>
    <w:rsid w:val="00F615C9"/>
    <w:rsid w:val="00F64C3E"/>
    <w:rsid w:val="00F71318"/>
    <w:rsid w:val="00F720EE"/>
    <w:rsid w:val="00F73F0A"/>
    <w:rsid w:val="00F77287"/>
    <w:rsid w:val="00F81461"/>
    <w:rsid w:val="00F85DB6"/>
    <w:rsid w:val="00F9201E"/>
    <w:rsid w:val="00F97BC6"/>
    <w:rsid w:val="00F97D2C"/>
    <w:rsid w:val="00FA133D"/>
    <w:rsid w:val="00FA475B"/>
    <w:rsid w:val="00FA6EBC"/>
    <w:rsid w:val="00FB42A3"/>
    <w:rsid w:val="00FC43D2"/>
    <w:rsid w:val="00FC686D"/>
    <w:rsid w:val="00FE3DFA"/>
    <w:rsid w:val="00FE7C79"/>
    <w:rsid w:val="00FF67EA"/>
    <w:rsid w:val="00FF71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7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0A"/>
    <w:rPr>
      <w:rFonts w:asciiTheme="minorBidi" w:hAnsiTheme="minorBidi"/>
      <w:sz w:val="21"/>
    </w:rPr>
  </w:style>
  <w:style w:type="paragraph" w:styleId="Heading1">
    <w:name w:val="heading 1"/>
    <w:basedOn w:val="Normal"/>
    <w:next w:val="Normal"/>
    <w:link w:val="Heading1Char"/>
    <w:uiPriority w:val="9"/>
    <w:qFormat/>
    <w:rsid w:val="004212D8"/>
    <w:pPr>
      <w:outlineLvl w:val="0"/>
    </w:pPr>
    <w:rPr>
      <w:rFonts w:asciiTheme="majorBidi" w:hAnsiTheme="majorBidi"/>
      <w:b/>
      <w:bCs/>
      <w:caps/>
      <w:sz w:val="24"/>
    </w:rPr>
  </w:style>
  <w:style w:type="paragraph" w:styleId="Heading2">
    <w:name w:val="heading 2"/>
    <w:basedOn w:val="Normal"/>
    <w:next w:val="Normal"/>
    <w:link w:val="Heading2Char"/>
    <w:uiPriority w:val="9"/>
    <w:unhideWhenUsed/>
    <w:qFormat/>
    <w:rsid w:val="004212D8"/>
    <w:pPr>
      <w:outlineLvl w:val="1"/>
    </w:pPr>
    <w:rPr>
      <w:rFonts w:asciiTheme="majorBidi" w:hAnsiTheme="majorBidi"/>
      <w:b/>
      <w:bCs/>
      <w:sz w:val="24"/>
    </w:rPr>
  </w:style>
  <w:style w:type="paragraph" w:styleId="Heading3">
    <w:name w:val="heading 3"/>
    <w:basedOn w:val="Normal"/>
    <w:next w:val="Normal"/>
    <w:link w:val="Heading3Char"/>
    <w:uiPriority w:val="9"/>
    <w:unhideWhenUsed/>
    <w:qFormat/>
    <w:rsid w:val="00083E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60"/>
    <w:rPr>
      <w:color w:val="0563C1" w:themeColor="hyperlink"/>
      <w:u w:val="single"/>
    </w:rPr>
  </w:style>
  <w:style w:type="character" w:styleId="CommentReference">
    <w:name w:val="annotation reference"/>
    <w:basedOn w:val="DefaultParagraphFont"/>
    <w:uiPriority w:val="99"/>
    <w:semiHidden/>
    <w:unhideWhenUsed/>
    <w:rsid w:val="00EF0B00"/>
    <w:rPr>
      <w:sz w:val="16"/>
      <w:szCs w:val="16"/>
    </w:rPr>
  </w:style>
  <w:style w:type="paragraph" w:styleId="CommentText">
    <w:name w:val="annotation text"/>
    <w:basedOn w:val="Normal"/>
    <w:link w:val="CommentTextChar"/>
    <w:uiPriority w:val="99"/>
    <w:unhideWhenUsed/>
    <w:rsid w:val="00EF0B00"/>
    <w:pPr>
      <w:spacing w:line="240" w:lineRule="auto"/>
    </w:pPr>
    <w:rPr>
      <w:sz w:val="20"/>
      <w:szCs w:val="20"/>
    </w:rPr>
  </w:style>
  <w:style w:type="character" w:customStyle="1" w:styleId="CommentTextChar">
    <w:name w:val="Comment Text Char"/>
    <w:basedOn w:val="DefaultParagraphFont"/>
    <w:link w:val="CommentText"/>
    <w:uiPriority w:val="99"/>
    <w:rsid w:val="00EF0B00"/>
    <w:rPr>
      <w:sz w:val="20"/>
      <w:szCs w:val="20"/>
    </w:rPr>
  </w:style>
  <w:style w:type="paragraph" w:styleId="CommentSubject">
    <w:name w:val="annotation subject"/>
    <w:basedOn w:val="CommentText"/>
    <w:next w:val="CommentText"/>
    <w:link w:val="CommentSubjectChar"/>
    <w:uiPriority w:val="99"/>
    <w:semiHidden/>
    <w:unhideWhenUsed/>
    <w:rsid w:val="00EF0B00"/>
    <w:rPr>
      <w:b/>
      <w:bCs/>
    </w:rPr>
  </w:style>
  <w:style w:type="character" w:customStyle="1" w:styleId="CommentSubjectChar">
    <w:name w:val="Comment Subject Char"/>
    <w:basedOn w:val="CommentTextChar"/>
    <w:link w:val="CommentSubject"/>
    <w:uiPriority w:val="99"/>
    <w:semiHidden/>
    <w:rsid w:val="00EF0B00"/>
    <w:rPr>
      <w:b/>
      <w:bCs/>
      <w:sz w:val="20"/>
      <w:szCs w:val="20"/>
    </w:rPr>
  </w:style>
  <w:style w:type="paragraph" w:styleId="BalloonText">
    <w:name w:val="Balloon Text"/>
    <w:basedOn w:val="Normal"/>
    <w:link w:val="BalloonTextChar"/>
    <w:uiPriority w:val="99"/>
    <w:semiHidden/>
    <w:unhideWhenUsed/>
    <w:rsid w:val="00EF0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B00"/>
    <w:rPr>
      <w:rFonts w:ascii="Segoe UI" w:hAnsi="Segoe UI" w:cs="Segoe UI"/>
      <w:sz w:val="18"/>
      <w:szCs w:val="18"/>
    </w:rPr>
  </w:style>
  <w:style w:type="paragraph" w:styleId="Subtitle">
    <w:name w:val="Subtitle"/>
    <w:basedOn w:val="Normal"/>
    <w:next w:val="Normal"/>
    <w:link w:val="SubtitleChar"/>
    <w:uiPriority w:val="11"/>
    <w:qFormat/>
    <w:rsid w:val="00A3738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3738D"/>
    <w:rPr>
      <w:color w:val="5A5A5A" w:themeColor="text1" w:themeTint="A5"/>
      <w:spacing w:val="15"/>
    </w:rPr>
  </w:style>
  <w:style w:type="character" w:styleId="FollowedHyperlink">
    <w:name w:val="FollowedHyperlink"/>
    <w:basedOn w:val="DefaultParagraphFont"/>
    <w:uiPriority w:val="99"/>
    <w:semiHidden/>
    <w:unhideWhenUsed/>
    <w:rsid w:val="00725028"/>
    <w:rPr>
      <w:color w:val="954F72" w:themeColor="followedHyperlink"/>
      <w:u w:val="single"/>
    </w:rPr>
  </w:style>
  <w:style w:type="character" w:customStyle="1" w:styleId="Heading2Char">
    <w:name w:val="Heading 2 Char"/>
    <w:basedOn w:val="DefaultParagraphFont"/>
    <w:link w:val="Heading2"/>
    <w:uiPriority w:val="9"/>
    <w:rsid w:val="004212D8"/>
    <w:rPr>
      <w:rFonts w:asciiTheme="majorBidi" w:hAnsiTheme="majorBidi"/>
      <w:b/>
      <w:bCs/>
      <w:sz w:val="24"/>
    </w:rPr>
  </w:style>
  <w:style w:type="character" w:customStyle="1" w:styleId="Heading3Char">
    <w:name w:val="Heading 3 Char"/>
    <w:basedOn w:val="DefaultParagraphFont"/>
    <w:link w:val="Heading3"/>
    <w:uiPriority w:val="9"/>
    <w:rsid w:val="00083E2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B85E25"/>
    <w:pPr>
      <w:ind w:left="720"/>
      <w:contextualSpacing/>
    </w:pPr>
  </w:style>
  <w:style w:type="character" w:styleId="Strong">
    <w:name w:val="Strong"/>
    <w:basedOn w:val="DefaultParagraphFont"/>
    <w:uiPriority w:val="22"/>
    <w:qFormat/>
    <w:rsid w:val="00AE322D"/>
    <w:rPr>
      <w:b/>
      <w:bCs/>
    </w:rPr>
  </w:style>
  <w:style w:type="character" w:customStyle="1" w:styleId="noprint">
    <w:name w:val="noprint"/>
    <w:basedOn w:val="DefaultParagraphFont"/>
    <w:rsid w:val="00AE322D"/>
  </w:style>
  <w:style w:type="character" w:customStyle="1" w:styleId="ListParagraphChar">
    <w:name w:val="List Paragraph Char"/>
    <w:link w:val="ListParagraph"/>
    <w:uiPriority w:val="34"/>
    <w:rsid w:val="002140E0"/>
    <w:rPr>
      <w:rFonts w:ascii="Candara" w:hAnsi="Candara"/>
    </w:rPr>
  </w:style>
  <w:style w:type="character" w:customStyle="1" w:styleId="Heading1Char">
    <w:name w:val="Heading 1 Char"/>
    <w:basedOn w:val="DefaultParagraphFont"/>
    <w:link w:val="Heading1"/>
    <w:uiPriority w:val="9"/>
    <w:rsid w:val="004212D8"/>
    <w:rPr>
      <w:rFonts w:asciiTheme="majorBidi" w:hAnsiTheme="majorBidi"/>
      <w:b/>
      <w:bCs/>
      <w:caps/>
      <w:sz w:val="24"/>
    </w:rPr>
  </w:style>
  <w:style w:type="character" w:customStyle="1" w:styleId="tgc">
    <w:name w:val="_tgc"/>
    <w:basedOn w:val="DefaultParagraphFont"/>
    <w:rsid w:val="000B60BB"/>
  </w:style>
  <w:style w:type="paragraph" w:styleId="Header">
    <w:name w:val="header"/>
    <w:basedOn w:val="Normal"/>
    <w:link w:val="HeaderChar"/>
    <w:uiPriority w:val="99"/>
    <w:unhideWhenUsed/>
    <w:rsid w:val="0089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841"/>
    <w:rPr>
      <w:rFonts w:asciiTheme="minorBidi" w:hAnsiTheme="minorBidi"/>
      <w:sz w:val="21"/>
    </w:rPr>
  </w:style>
  <w:style w:type="paragraph" w:styleId="Footer">
    <w:name w:val="footer"/>
    <w:basedOn w:val="Normal"/>
    <w:link w:val="FooterChar"/>
    <w:uiPriority w:val="99"/>
    <w:unhideWhenUsed/>
    <w:rsid w:val="0089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841"/>
    <w:rPr>
      <w:rFonts w:asciiTheme="minorBidi" w:hAnsiTheme="minorBidi"/>
      <w:sz w:val="21"/>
    </w:rPr>
  </w:style>
  <w:style w:type="paragraph" w:styleId="Revision">
    <w:name w:val="Revision"/>
    <w:hidden/>
    <w:uiPriority w:val="99"/>
    <w:semiHidden/>
    <w:rsid w:val="00AF47CE"/>
    <w:pPr>
      <w:spacing w:after="0" w:line="240" w:lineRule="auto"/>
    </w:pPr>
    <w:rPr>
      <w:rFonts w:asciiTheme="minorBidi" w:hAnsiTheme="minorBidi"/>
      <w:sz w:val="21"/>
    </w:rPr>
  </w:style>
  <w:style w:type="table" w:styleId="TableGrid">
    <w:name w:val="Table Grid"/>
    <w:basedOn w:val="TableNormal"/>
    <w:uiPriority w:val="39"/>
    <w:rsid w:val="00661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0A"/>
    <w:rPr>
      <w:rFonts w:asciiTheme="minorBidi" w:hAnsiTheme="minorBidi"/>
      <w:sz w:val="21"/>
    </w:rPr>
  </w:style>
  <w:style w:type="paragraph" w:styleId="Heading1">
    <w:name w:val="heading 1"/>
    <w:basedOn w:val="Normal"/>
    <w:next w:val="Normal"/>
    <w:link w:val="Heading1Char"/>
    <w:uiPriority w:val="9"/>
    <w:qFormat/>
    <w:rsid w:val="004212D8"/>
    <w:pPr>
      <w:outlineLvl w:val="0"/>
    </w:pPr>
    <w:rPr>
      <w:rFonts w:asciiTheme="majorBidi" w:hAnsiTheme="majorBidi"/>
      <w:b/>
      <w:bCs/>
      <w:caps/>
      <w:sz w:val="24"/>
    </w:rPr>
  </w:style>
  <w:style w:type="paragraph" w:styleId="Heading2">
    <w:name w:val="heading 2"/>
    <w:basedOn w:val="Normal"/>
    <w:next w:val="Normal"/>
    <w:link w:val="Heading2Char"/>
    <w:uiPriority w:val="9"/>
    <w:unhideWhenUsed/>
    <w:qFormat/>
    <w:rsid w:val="004212D8"/>
    <w:pPr>
      <w:outlineLvl w:val="1"/>
    </w:pPr>
    <w:rPr>
      <w:rFonts w:asciiTheme="majorBidi" w:hAnsiTheme="majorBidi"/>
      <w:b/>
      <w:bCs/>
      <w:sz w:val="24"/>
    </w:rPr>
  </w:style>
  <w:style w:type="paragraph" w:styleId="Heading3">
    <w:name w:val="heading 3"/>
    <w:basedOn w:val="Normal"/>
    <w:next w:val="Normal"/>
    <w:link w:val="Heading3Char"/>
    <w:uiPriority w:val="9"/>
    <w:unhideWhenUsed/>
    <w:qFormat/>
    <w:rsid w:val="00083E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60"/>
    <w:rPr>
      <w:color w:val="0563C1" w:themeColor="hyperlink"/>
      <w:u w:val="single"/>
    </w:rPr>
  </w:style>
  <w:style w:type="character" w:styleId="CommentReference">
    <w:name w:val="annotation reference"/>
    <w:basedOn w:val="DefaultParagraphFont"/>
    <w:uiPriority w:val="99"/>
    <w:semiHidden/>
    <w:unhideWhenUsed/>
    <w:rsid w:val="00EF0B00"/>
    <w:rPr>
      <w:sz w:val="16"/>
      <w:szCs w:val="16"/>
    </w:rPr>
  </w:style>
  <w:style w:type="paragraph" w:styleId="CommentText">
    <w:name w:val="annotation text"/>
    <w:basedOn w:val="Normal"/>
    <w:link w:val="CommentTextChar"/>
    <w:uiPriority w:val="99"/>
    <w:unhideWhenUsed/>
    <w:rsid w:val="00EF0B00"/>
    <w:pPr>
      <w:spacing w:line="240" w:lineRule="auto"/>
    </w:pPr>
    <w:rPr>
      <w:sz w:val="20"/>
      <w:szCs w:val="20"/>
    </w:rPr>
  </w:style>
  <w:style w:type="character" w:customStyle="1" w:styleId="CommentTextChar">
    <w:name w:val="Comment Text Char"/>
    <w:basedOn w:val="DefaultParagraphFont"/>
    <w:link w:val="CommentText"/>
    <w:uiPriority w:val="99"/>
    <w:rsid w:val="00EF0B00"/>
    <w:rPr>
      <w:sz w:val="20"/>
      <w:szCs w:val="20"/>
    </w:rPr>
  </w:style>
  <w:style w:type="paragraph" w:styleId="CommentSubject">
    <w:name w:val="annotation subject"/>
    <w:basedOn w:val="CommentText"/>
    <w:next w:val="CommentText"/>
    <w:link w:val="CommentSubjectChar"/>
    <w:uiPriority w:val="99"/>
    <w:semiHidden/>
    <w:unhideWhenUsed/>
    <w:rsid w:val="00EF0B00"/>
    <w:rPr>
      <w:b/>
      <w:bCs/>
    </w:rPr>
  </w:style>
  <w:style w:type="character" w:customStyle="1" w:styleId="CommentSubjectChar">
    <w:name w:val="Comment Subject Char"/>
    <w:basedOn w:val="CommentTextChar"/>
    <w:link w:val="CommentSubject"/>
    <w:uiPriority w:val="99"/>
    <w:semiHidden/>
    <w:rsid w:val="00EF0B00"/>
    <w:rPr>
      <w:b/>
      <w:bCs/>
      <w:sz w:val="20"/>
      <w:szCs w:val="20"/>
    </w:rPr>
  </w:style>
  <w:style w:type="paragraph" w:styleId="BalloonText">
    <w:name w:val="Balloon Text"/>
    <w:basedOn w:val="Normal"/>
    <w:link w:val="BalloonTextChar"/>
    <w:uiPriority w:val="99"/>
    <w:semiHidden/>
    <w:unhideWhenUsed/>
    <w:rsid w:val="00EF0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B00"/>
    <w:rPr>
      <w:rFonts w:ascii="Segoe UI" w:hAnsi="Segoe UI" w:cs="Segoe UI"/>
      <w:sz w:val="18"/>
      <w:szCs w:val="18"/>
    </w:rPr>
  </w:style>
  <w:style w:type="paragraph" w:styleId="Subtitle">
    <w:name w:val="Subtitle"/>
    <w:basedOn w:val="Normal"/>
    <w:next w:val="Normal"/>
    <w:link w:val="SubtitleChar"/>
    <w:uiPriority w:val="11"/>
    <w:qFormat/>
    <w:rsid w:val="00A3738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3738D"/>
    <w:rPr>
      <w:color w:val="5A5A5A" w:themeColor="text1" w:themeTint="A5"/>
      <w:spacing w:val="15"/>
    </w:rPr>
  </w:style>
  <w:style w:type="character" w:styleId="FollowedHyperlink">
    <w:name w:val="FollowedHyperlink"/>
    <w:basedOn w:val="DefaultParagraphFont"/>
    <w:uiPriority w:val="99"/>
    <w:semiHidden/>
    <w:unhideWhenUsed/>
    <w:rsid w:val="00725028"/>
    <w:rPr>
      <w:color w:val="954F72" w:themeColor="followedHyperlink"/>
      <w:u w:val="single"/>
    </w:rPr>
  </w:style>
  <w:style w:type="character" w:customStyle="1" w:styleId="Heading2Char">
    <w:name w:val="Heading 2 Char"/>
    <w:basedOn w:val="DefaultParagraphFont"/>
    <w:link w:val="Heading2"/>
    <w:uiPriority w:val="9"/>
    <w:rsid w:val="004212D8"/>
    <w:rPr>
      <w:rFonts w:asciiTheme="majorBidi" w:hAnsiTheme="majorBidi"/>
      <w:b/>
      <w:bCs/>
      <w:sz w:val="24"/>
    </w:rPr>
  </w:style>
  <w:style w:type="character" w:customStyle="1" w:styleId="Heading3Char">
    <w:name w:val="Heading 3 Char"/>
    <w:basedOn w:val="DefaultParagraphFont"/>
    <w:link w:val="Heading3"/>
    <w:uiPriority w:val="9"/>
    <w:rsid w:val="00083E2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B85E25"/>
    <w:pPr>
      <w:ind w:left="720"/>
      <w:contextualSpacing/>
    </w:pPr>
  </w:style>
  <w:style w:type="character" w:styleId="Strong">
    <w:name w:val="Strong"/>
    <w:basedOn w:val="DefaultParagraphFont"/>
    <w:uiPriority w:val="22"/>
    <w:qFormat/>
    <w:rsid w:val="00AE322D"/>
    <w:rPr>
      <w:b/>
      <w:bCs/>
    </w:rPr>
  </w:style>
  <w:style w:type="character" w:customStyle="1" w:styleId="noprint">
    <w:name w:val="noprint"/>
    <w:basedOn w:val="DefaultParagraphFont"/>
    <w:rsid w:val="00AE322D"/>
  </w:style>
  <w:style w:type="character" w:customStyle="1" w:styleId="ListParagraphChar">
    <w:name w:val="List Paragraph Char"/>
    <w:link w:val="ListParagraph"/>
    <w:uiPriority w:val="34"/>
    <w:rsid w:val="002140E0"/>
    <w:rPr>
      <w:rFonts w:ascii="Candara" w:hAnsi="Candara"/>
    </w:rPr>
  </w:style>
  <w:style w:type="character" w:customStyle="1" w:styleId="Heading1Char">
    <w:name w:val="Heading 1 Char"/>
    <w:basedOn w:val="DefaultParagraphFont"/>
    <w:link w:val="Heading1"/>
    <w:uiPriority w:val="9"/>
    <w:rsid w:val="004212D8"/>
    <w:rPr>
      <w:rFonts w:asciiTheme="majorBidi" w:hAnsiTheme="majorBidi"/>
      <w:b/>
      <w:bCs/>
      <w:caps/>
      <w:sz w:val="24"/>
    </w:rPr>
  </w:style>
  <w:style w:type="character" w:customStyle="1" w:styleId="tgc">
    <w:name w:val="_tgc"/>
    <w:basedOn w:val="DefaultParagraphFont"/>
    <w:rsid w:val="000B60BB"/>
  </w:style>
  <w:style w:type="paragraph" w:styleId="Header">
    <w:name w:val="header"/>
    <w:basedOn w:val="Normal"/>
    <w:link w:val="HeaderChar"/>
    <w:uiPriority w:val="99"/>
    <w:unhideWhenUsed/>
    <w:rsid w:val="0089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841"/>
    <w:rPr>
      <w:rFonts w:asciiTheme="minorBidi" w:hAnsiTheme="minorBidi"/>
      <w:sz w:val="21"/>
    </w:rPr>
  </w:style>
  <w:style w:type="paragraph" w:styleId="Footer">
    <w:name w:val="footer"/>
    <w:basedOn w:val="Normal"/>
    <w:link w:val="FooterChar"/>
    <w:uiPriority w:val="99"/>
    <w:unhideWhenUsed/>
    <w:rsid w:val="0089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841"/>
    <w:rPr>
      <w:rFonts w:asciiTheme="minorBidi" w:hAnsiTheme="minorBidi"/>
      <w:sz w:val="21"/>
    </w:rPr>
  </w:style>
  <w:style w:type="paragraph" w:styleId="Revision">
    <w:name w:val="Revision"/>
    <w:hidden/>
    <w:uiPriority w:val="99"/>
    <w:semiHidden/>
    <w:rsid w:val="00AF47CE"/>
    <w:pPr>
      <w:spacing w:after="0" w:line="240" w:lineRule="auto"/>
    </w:pPr>
    <w:rPr>
      <w:rFonts w:asciiTheme="minorBidi" w:hAnsiTheme="minorBidi"/>
      <w:sz w:val="21"/>
    </w:rPr>
  </w:style>
  <w:style w:type="table" w:styleId="TableGrid">
    <w:name w:val="Table Grid"/>
    <w:basedOn w:val="TableNormal"/>
    <w:uiPriority w:val="39"/>
    <w:rsid w:val="00661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2362">
      <w:bodyDiv w:val="1"/>
      <w:marLeft w:val="0"/>
      <w:marRight w:val="0"/>
      <w:marTop w:val="0"/>
      <w:marBottom w:val="0"/>
      <w:divBdr>
        <w:top w:val="none" w:sz="0" w:space="0" w:color="auto"/>
        <w:left w:val="none" w:sz="0" w:space="0" w:color="auto"/>
        <w:bottom w:val="none" w:sz="0" w:space="0" w:color="auto"/>
        <w:right w:val="none" w:sz="0" w:space="0" w:color="auto"/>
      </w:divBdr>
    </w:div>
    <w:div w:id="297762137">
      <w:bodyDiv w:val="1"/>
      <w:marLeft w:val="0"/>
      <w:marRight w:val="0"/>
      <w:marTop w:val="0"/>
      <w:marBottom w:val="0"/>
      <w:divBdr>
        <w:top w:val="none" w:sz="0" w:space="0" w:color="auto"/>
        <w:left w:val="none" w:sz="0" w:space="0" w:color="auto"/>
        <w:bottom w:val="none" w:sz="0" w:space="0" w:color="auto"/>
        <w:right w:val="none" w:sz="0" w:space="0" w:color="auto"/>
      </w:divBdr>
    </w:div>
    <w:div w:id="337462017">
      <w:bodyDiv w:val="1"/>
      <w:marLeft w:val="0"/>
      <w:marRight w:val="0"/>
      <w:marTop w:val="0"/>
      <w:marBottom w:val="0"/>
      <w:divBdr>
        <w:top w:val="none" w:sz="0" w:space="0" w:color="auto"/>
        <w:left w:val="none" w:sz="0" w:space="0" w:color="auto"/>
        <w:bottom w:val="none" w:sz="0" w:space="0" w:color="auto"/>
        <w:right w:val="none" w:sz="0" w:space="0" w:color="auto"/>
      </w:divBdr>
    </w:div>
    <w:div w:id="791754944">
      <w:bodyDiv w:val="1"/>
      <w:marLeft w:val="0"/>
      <w:marRight w:val="0"/>
      <w:marTop w:val="0"/>
      <w:marBottom w:val="0"/>
      <w:divBdr>
        <w:top w:val="none" w:sz="0" w:space="0" w:color="auto"/>
        <w:left w:val="none" w:sz="0" w:space="0" w:color="auto"/>
        <w:bottom w:val="none" w:sz="0" w:space="0" w:color="auto"/>
        <w:right w:val="none" w:sz="0" w:space="0" w:color="auto"/>
      </w:divBdr>
      <w:divsChild>
        <w:div w:id="436293587">
          <w:marLeft w:val="0"/>
          <w:marRight w:val="0"/>
          <w:marTop w:val="0"/>
          <w:marBottom w:val="0"/>
          <w:divBdr>
            <w:top w:val="none" w:sz="0" w:space="0" w:color="auto"/>
            <w:left w:val="none" w:sz="0" w:space="0" w:color="auto"/>
            <w:bottom w:val="none" w:sz="0" w:space="0" w:color="auto"/>
            <w:right w:val="none" w:sz="0" w:space="0" w:color="auto"/>
          </w:divBdr>
        </w:div>
        <w:div w:id="1665890904">
          <w:marLeft w:val="0"/>
          <w:marRight w:val="0"/>
          <w:marTop w:val="0"/>
          <w:marBottom w:val="0"/>
          <w:divBdr>
            <w:top w:val="none" w:sz="0" w:space="0" w:color="auto"/>
            <w:left w:val="none" w:sz="0" w:space="0" w:color="auto"/>
            <w:bottom w:val="none" w:sz="0" w:space="0" w:color="auto"/>
            <w:right w:val="none" w:sz="0" w:space="0" w:color="auto"/>
          </w:divBdr>
        </w:div>
      </w:divsChild>
    </w:div>
    <w:div w:id="818620112">
      <w:bodyDiv w:val="1"/>
      <w:marLeft w:val="0"/>
      <w:marRight w:val="0"/>
      <w:marTop w:val="0"/>
      <w:marBottom w:val="0"/>
      <w:divBdr>
        <w:top w:val="none" w:sz="0" w:space="0" w:color="auto"/>
        <w:left w:val="none" w:sz="0" w:space="0" w:color="auto"/>
        <w:bottom w:val="none" w:sz="0" w:space="0" w:color="auto"/>
        <w:right w:val="none" w:sz="0" w:space="0" w:color="auto"/>
      </w:divBdr>
      <w:divsChild>
        <w:div w:id="16742111">
          <w:marLeft w:val="0"/>
          <w:marRight w:val="0"/>
          <w:marTop w:val="0"/>
          <w:marBottom w:val="0"/>
          <w:divBdr>
            <w:top w:val="none" w:sz="0" w:space="0" w:color="auto"/>
            <w:left w:val="none" w:sz="0" w:space="0" w:color="auto"/>
            <w:bottom w:val="none" w:sz="0" w:space="0" w:color="auto"/>
            <w:right w:val="none" w:sz="0" w:space="0" w:color="auto"/>
          </w:divBdr>
          <w:divsChild>
            <w:div w:id="1981835972">
              <w:marLeft w:val="0"/>
              <w:marRight w:val="0"/>
              <w:marTop w:val="0"/>
              <w:marBottom w:val="0"/>
              <w:divBdr>
                <w:top w:val="none" w:sz="0" w:space="0" w:color="auto"/>
                <w:left w:val="none" w:sz="0" w:space="0" w:color="auto"/>
                <w:bottom w:val="none" w:sz="0" w:space="0" w:color="auto"/>
                <w:right w:val="none" w:sz="0" w:space="0" w:color="auto"/>
              </w:divBdr>
            </w:div>
          </w:divsChild>
        </w:div>
        <w:div w:id="66652500">
          <w:marLeft w:val="0"/>
          <w:marRight w:val="0"/>
          <w:marTop w:val="0"/>
          <w:marBottom w:val="0"/>
          <w:divBdr>
            <w:top w:val="none" w:sz="0" w:space="0" w:color="auto"/>
            <w:left w:val="none" w:sz="0" w:space="0" w:color="auto"/>
            <w:bottom w:val="none" w:sz="0" w:space="0" w:color="auto"/>
            <w:right w:val="none" w:sz="0" w:space="0" w:color="auto"/>
          </w:divBdr>
        </w:div>
        <w:div w:id="506406828">
          <w:marLeft w:val="0"/>
          <w:marRight w:val="0"/>
          <w:marTop w:val="0"/>
          <w:marBottom w:val="0"/>
          <w:divBdr>
            <w:top w:val="none" w:sz="0" w:space="0" w:color="auto"/>
            <w:left w:val="none" w:sz="0" w:space="0" w:color="auto"/>
            <w:bottom w:val="none" w:sz="0" w:space="0" w:color="auto"/>
            <w:right w:val="none" w:sz="0" w:space="0" w:color="auto"/>
          </w:divBdr>
          <w:divsChild>
            <w:div w:id="1856920660">
              <w:marLeft w:val="0"/>
              <w:marRight w:val="0"/>
              <w:marTop w:val="0"/>
              <w:marBottom w:val="0"/>
              <w:divBdr>
                <w:top w:val="none" w:sz="0" w:space="0" w:color="auto"/>
                <w:left w:val="none" w:sz="0" w:space="0" w:color="auto"/>
                <w:bottom w:val="none" w:sz="0" w:space="0" w:color="auto"/>
                <w:right w:val="none" w:sz="0" w:space="0" w:color="auto"/>
              </w:divBdr>
              <w:divsChild>
                <w:div w:id="1433552734">
                  <w:marLeft w:val="0"/>
                  <w:marRight w:val="0"/>
                  <w:marTop w:val="0"/>
                  <w:marBottom w:val="0"/>
                  <w:divBdr>
                    <w:top w:val="none" w:sz="0" w:space="0" w:color="auto"/>
                    <w:left w:val="none" w:sz="0" w:space="0" w:color="auto"/>
                    <w:bottom w:val="none" w:sz="0" w:space="0" w:color="auto"/>
                    <w:right w:val="none" w:sz="0" w:space="0" w:color="auto"/>
                  </w:divBdr>
                  <w:divsChild>
                    <w:div w:id="11852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9155">
              <w:marLeft w:val="0"/>
              <w:marRight w:val="0"/>
              <w:marTop w:val="0"/>
              <w:marBottom w:val="0"/>
              <w:divBdr>
                <w:top w:val="none" w:sz="0" w:space="0" w:color="auto"/>
                <w:left w:val="none" w:sz="0" w:space="0" w:color="auto"/>
                <w:bottom w:val="none" w:sz="0" w:space="0" w:color="auto"/>
                <w:right w:val="none" w:sz="0" w:space="0" w:color="auto"/>
              </w:divBdr>
            </w:div>
          </w:divsChild>
        </w:div>
        <w:div w:id="2121487009">
          <w:marLeft w:val="0"/>
          <w:marRight w:val="0"/>
          <w:marTop w:val="0"/>
          <w:marBottom w:val="0"/>
          <w:divBdr>
            <w:top w:val="none" w:sz="0" w:space="0" w:color="auto"/>
            <w:left w:val="none" w:sz="0" w:space="0" w:color="auto"/>
            <w:bottom w:val="none" w:sz="0" w:space="0" w:color="auto"/>
            <w:right w:val="none" w:sz="0" w:space="0" w:color="auto"/>
          </w:divBdr>
        </w:div>
        <w:div w:id="2101834514">
          <w:marLeft w:val="0"/>
          <w:marRight w:val="0"/>
          <w:marTop w:val="0"/>
          <w:marBottom w:val="0"/>
          <w:divBdr>
            <w:top w:val="none" w:sz="0" w:space="0" w:color="auto"/>
            <w:left w:val="none" w:sz="0" w:space="0" w:color="auto"/>
            <w:bottom w:val="none" w:sz="0" w:space="0" w:color="auto"/>
            <w:right w:val="none" w:sz="0" w:space="0" w:color="auto"/>
          </w:divBdr>
          <w:divsChild>
            <w:div w:id="2087723577">
              <w:marLeft w:val="0"/>
              <w:marRight w:val="0"/>
              <w:marTop w:val="0"/>
              <w:marBottom w:val="0"/>
              <w:divBdr>
                <w:top w:val="none" w:sz="0" w:space="0" w:color="auto"/>
                <w:left w:val="none" w:sz="0" w:space="0" w:color="auto"/>
                <w:bottom w:val="none" w:sz="0" w:space="0" w:color="auto"/>
                <w:right w:val="none" w:sz="0" w:space="0" w:color="auto"/>
              </w:divBdr>
              <w:divsChild>
                <w:div w:id="1314329447">
                  <w:marLeft w:val="0"/>
                  <w:marRight w:val="0"/>
                  <w:marTop w:val="0"/>
                  <w:marBottom w:val="0"/>
                  <w:divBdr>
                    <w:top w:val="none" w:sz="0" w:space="0" w:color="auto"/>
                    <w:left w:val="none" w:sz="0" w:space="0" w:color="auto"/>
                    <w:bottom w:val="none" w:sz="0" w:space="0" w:color="auto"/>
                    <w:right w:val="none" w:sz="0" w:space="0" w:color="auto"/>
                  </w:divBdr>
                  <w:divsChild>
                    <w:div w:id="177474689">
                      <w:marLeft w:val="0"/>
                      <w:marRight w:val="0"/>
                      <w:marTop w:val="0"/>
                      <w:marBottom w:val="0"/>
                      <w:divBdr>
                        <w:top w:val="none" w:sz="0" w:space="0" w:color="auto"/>
                        <w:left w:val="none" w:sz="0" w:space="0" w:color="auto"/>
                        <w:bottom w:val="none" w:sz="0" w:space="0" w:color="auto"/>
                        <w:right w:val="none" w:sz="0" w:space="0" w:color="auto"/>
                      </w:divBdr>
                    </w:div>
                  </w:divsChild>
                </w:div>
                <w:div w:id="18434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2125">
      <w:bodyDiv w:val="1"/>
      <w:marLeft w:val="0"/>
      <w:marRight w:val="0"/>
      <w:marTop w:val="0"/>
      <w:marBottom w:val="0"/>
      <w:divBdr>
        <w:top w:val="none" w:sz="0" w:space="0" w:color="auto"/>
        <w:left w:val="none" w:sz="0" w:space="0" w:color="auto"/>
        <w:bottom w:val="none" w:sz="0" w:space="0" w:color="auto"/>
        <w:right w:val="none" w:sz="0" w:space="0" w:color="auto"/>
      </w:divBdr>
    </w:div>
    <w:div w:id="1074204077">
      <w:bodyDiv w:val="1"/>
      <w:marLeft w:val="0"/>
      <w:marRight w:val="0"/>
      <w:marTop w:val="0"/>
      <w:marBottom w:val="0"/>
      <w:divBdr>
        <w:top w:val="none" w:sz="0" w:space="0" w:color="auto"/>
        <w:left w:val="none" w:sz="0" w:space="0" w:color="auto"/>
        <w:bottom w:val="none" w:sz="0" w:space="0" w:color="auto"/>
        <w:right w:val="none" w:sz="0" w:space="0" w:color="auto"/>
      </w:divBdr>
    </w:div>
    <w:div w:id="1270240035">
      <w:bodyDiv w:val="1"/>
      <w:marLeft w:val="0"/>
      <w:marRight w:val="0"/>
      <w:marTop w:val="0"/>
      <w:marBottom w:val="0"/>
      <w:divBdr>
        <w:top w:val="none" w:sz="0" w:space="0" w:color="auto"/>
        <w:left w:val="none" w:sz="0" w:space="0" w:color="auto"/>
        <w:bottom w:val="none" w:sz="0" w:space="0" w:color="auto"/>
        <w:right w:val="none" w:sz="0" w:space="0" w:color="auto"/>
      </w:divBdr>
    </w:div>
    <w:div w:id="1340350995">
      <w:bodyDiv w:val="1"/>
      <w:marLeft w:val="0"/>
      <w:marRight w:val="0"/>
      <w:marTop w:val="0"/>
      <w:marBottom w:val="0"/>
      <w:divBdr>
        <w:top w:val="none" w:sz="0" w:space="0" w:color="auto"/>
        <w:left w:val="none" w:sz="0" w:space="0" w:color="auto"/>
        <w:bottom w:val="none" w:sz="0" w:space="0" w:color="auto"/>
        <w:right w:val="none" w:sz="0" w:space="0" w:color="auto"/>
      </w:divBdr>
    </w:div>
    <w:div w:id="1371882423">
      <w:bodyDiv w:val="1"/>
      <w:marLeft w:val="0"/>
      <w:marRight w:val="0"/>
      <w:marTop w:val="0"/>
      <w:marBottom w:val="0"/>
      <w:divBdr>
        <w:top w:val="none" w:sz="0" w:space="0" w:color="auto"/>
        <w:left w:val="none" w:sz="0" w:space="0" w:color="auto"/>
        <w:bottom w:val="none" w:sz="0" w:space="0" w:color="auto"/>
        <w:right w:val="none" w:sz="0" w:space="0" w:color="auto"/>
      </w:divBdr>
    </w:div>
    <w:div w:id="1567451380">
      <w:bodyDiv w:val="1"/>
      <w:marLeft w:val="0"/>
      <w:marRight w:val="0"/>
      <w:marTop w:val="0"/>
      <w:marBottom w:val="0"/>
      <w:divBdr>
        <w:top w:val="none" w:sz="0" w:space="0" w:color="auto"/>
        <w:left w:val="none" w:sz="0" w:space="0" w:color="auto"/>
        <w:bottom w:val="none" w:sz="0" w:space="0" w:color="auto"/>
        <w:right w:val="none" w:sz="0" w:space="0" w:color="auto"/>
      </w:divBdr>
    </w:div>
    <w:div w:id="1659306464">
      <w:bodyDiv w:val="1"/>
      <w:marLeft w:val="0"/>
      <w:marRight w:val="0"/>
      <w:marTop w:val="0"/>
      <w:marBottom w:val="0"/>
      <w:divBdr>
        <w:top w:val="none" w:sz="0" w:space="0" w:color="auto"/>
        <w:left w:val="none" w:sz="0" w:space="0" w:color="auto"/>
        <w:bottom w:val="none" w:sz="0" w:space="0" w:color="auto"/>
        <w:right w:val="none" w:sz="0" w:space="0" w:color="auto"/>
      </w:divBdr>
      <w:divsChild>
        <w:div w:id="46491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2339">
      <w:bodyDiv w:val="1"/>
      <w:marLeft w:val="0"/>
      <w:marRight w:val="0"/>
      <w:marTop w:val="0"/>
      <w:marBottom w:val="0"/>
      <w:divBdr>
        <w:top w:val="none" w:sz="0" w:space="0" w:color="auto"/>
        <w:left w:val="none" w:sz="0" w:space="0" w:color="auto"/>
        <w:bottom w:val="none" w:sz="0" w:space="0" w:color="auto"/>
        <w:right w:val="none" w:sz="0" w:space="0" w:color="auto"/>
      </w:divBdr>
    </w:div>
    <w:div w:id="1926181708">
      <w:bodyDiv w:val="1"/>
      <w:marLeft w:val="0"/>
      <w:marRight w:val="0"/>
      <w:marTop w:val="0"/>
      <w:marBottom w:val="0"/>
      <w:divBdr>
        <w:top w:val="none" w:sz="0" w:space="0" w:color="auto"/>
        <w:left w:val="none" w:sz="0" w:space="0" w:color="auto"/>
        <w:bottom w:val="none" w:sz="0" w:space="0" w:color="auto"/>
        <w:right w:val="none" w:sz="0" w:space="0" w:color="auto"/>
      </w:divBdr>
    </w:div>
    <w:div w:id="2098598877">
      <w:bodyDiv w:val="1"/>
      <w:marLeft w:val="0"/>
      <w:marRight w:val="0"/>
      <w:marTop w:val="0"/>
      <w:marBottom w:val="0"/>
      <w:divBdr>
        <w:top w:val="none" w:sz="0" w:space="0" w:color="auto"/>
        <w:left w:val="none" w:sz="0" w:space="0" w:color="auto"/>
        <w:bottom w:val="none" w:sz="0" w:space="0" w:color="auto"/>
        <w:right w:val="none" w:sz="0" w:space="0" w:color="auto"/>
      </w:divBdr>
      <w:divsChild>
        <w:div w:id="523448068">
          <w:marLeft w:val="0"/>
          <w:marRight w:val="0"/>
          <w:marTop w:val="0"/>
          <w:marBottom w:val="0"/>
          <w:divBdr>
            <w:top w:val="none" w:sz="0" w:space="0" w:color="auto"/>
            <w:left w:val="none" w:sz="0" w:space="0" w:color="auto"/>
            <w:bottom w:val="none" w:sz="0" w:space="0" w:color="auto"/>
            <w:right w:val="none" w:sz="0" w:space="0" w:color="auto"/>
          </w:divBdr>
        </w:div>
        <w:div w:id="944506517">
          <w:marLeft w:val="0"/>
          <w:marRight w:val="0"/>
          <w:marTop w:val="0"/>
          <w:marBottom w:val="0"/>
          <w:divBdr>
            <w:top w:val="none" w:sz="0" w:space="0" w:color="auto"/>
            <w:left w:val="none" w:sz="0" w:space="0" w:color="auto"/>
            <w:bottom w:val="none" w:sz="0" w:space="0" w:color="auto"/>
            <w:right w:val="none" w:sz="0" w:space="0" w:color="auto"/>
          </w:divBdr>
        </w:div>
        <w:div w:id="332883500">
          <w:marLeft w:val="0"/>
          <w:marRight w:val="0"/>
          <w:marTop w:val="0"/>
          <w:marBottom w:val="0"/>
          <w:divBdr>
            <w:top w:val="none" w:sz="0" w:space="0" w:color="auto"/>
            <w:left w:val="none" w:sz="0" w:space="0" w:color="auto"/>
            <w:bottom w:val="none" w:sz="0" w:space="0" w:color="auto"/>
            <w:right w:val="none" w:sz="0" w:space="0" w:color="auto"/>
          </w:divBdr>
        </w:div>
        <w:div w:id="1243833483">
          <w:marLeft w:val="0"/>
          <w:marRight w:val="0"/>
          <w:marTop w:val="0"/>
          <w:marBottom w:val="0"/>
          <w:divBdr>
            <w:top w:val="none" w:sz="0" w:space="0" w:color="auto"/>
            <w:left w:val="none" w:sz="0" w:space="0" w:color="auto"/>
            <w:bottom w:val="none" w:sz="0" w:space="0" w:color="auto"/>
            <w:right w:val="none" w:sz="0" w:space="0" w:color="auto"/>
          </w:divBdr>
        </w:div>
        <w:div w:id="1589575938">
          <w:marLeft w:val="0"/>
          <w:marRight w:val="0"/>
          <w:marTop w:val="0"/>
          <w:marBottom w:val="0"/>
          <w:divBdr>
            <w:top w:val="none" w:sz="0" w:space="0" w:color="auto"/>
            <w:left w:val="none" w:sz="0" w:space="0" w:color="auto"/>
            <w:bottom w:val="none" w:sz="0" w:space="0" w:color="auto"/>
            <w:right w:val="none" w:sz="0" w:space="0" w:color="auto"/>
          </w:divBdr>
        </w:div>
        <w:div w:id="698353666">
          <w:marLeft w:val="0"/>
          <w:marRight w:val="0"/>
          <w:marTop w:val="0"/>
          <w:marBottom w:val="0"/>
          <w:divBdr>
            <w:top w:val="none" w:sz="0" w:space="0" w:color="auto"/>
            <w:left w:val="none" w:sz="0" w:space="0" w:color="auto"/>
            <w:bottom w:val="none" w:sz="0" w:space="0" w:color="auto"/>
            <w:right w:val="none" w:sz="0" w:space="0" w:color="auto"/>
          </w:divBdr>
        </w:div>
        <w:div w:id="942029756">
          <w:marLeft w:val="0"/>
          <w:marRight w:val="0"/>
          <w:marTop w:val="0"/>
          <w:marBottom w:val="0"/>
          <w:divBdr>
            <w:top w:val="none" w:sz="0" w:space="0" w:color="auto"/>
            <w:left w:val="none" w:sz="0" w:space="0" w:color="auto"/>
            <w:bottom w:val="none" w:sz="0" w:space="0" w:color="auto"/>
            <w:right w:val="none" w:sz="0" w:space="0" w:color="auto"/>
          </w:divBdr>
        </w:div>
        <w:div w:id="1035152575">
          <w:marLeft w:val="0"/>
          <w:marRight w:val="0"/>
          <w:marTop w:val="0"/>
          <w:marBottom w:val="0"/>
          <w:divBdr>
            <w:top w:val="none" w:sz="0" w:space="0" w:color="auto"/>
            <w:left w:val="none" w:sz="0" w:space="0" w:color="auto"/>
            <w:bottom w:val="none" w:sz="0" w:space="0" w:color="auto"/>
            <w:right w:val="none" w:sz="0" w:space="0" w:color="auto"/>
          </w:divBdr>
        </w:div>
        <w:div w:id="1035427367">
          <w:marLeft w:val="0"/>
          <w:marRight w:val="0"/>
          <w:marTop w:val="0"/>
          <w:marBottom w:val="0"/>
          <w:divBdr>
            <w:top w:val="none" w:sz="0" w:space="0" w:color="auto"/>
            <w:left w:val="none" w:sz="0" w:space="0" w:color="auto"/>
            <w:bottom w:val="none" w:sz="0" w:space="0" w:color="auto"/>
            <w:right w:val="none" w:sz="0" w:space="0" w:color="auto"/>
          </w:divBdr>
        </w:div>
        <w:div w:id="84521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ealth.gov.au/internet/main/publishing.nsf/Content/national-strategic-framework-rural-remote-health" TargetMode="External"/><Relationship Id="rId20" Type="http://schemas.microsoft.com/office/2011/relationships/people" Target="people.xml"/><Relationship Id="rId10" Type="http://schemas.openxmlformats.org/officeDocument/2006/relationships/hyperlink" Target="https://www.aihw.gov.au/reports/rural-health/rural-remote-health/contents/rural-health" TargetMode="External"/><Relationship Id="rId11" Type="http://schemas.openxmlformats.org/officeDocument/2006/relationships/hyperlink" Target="http://frdc.com.au/project?id=2960" TargetMode="External"/><Relationship Id="rId12" Type="http://schemas.openxmlformats.org/officeDocument/2006/relationships/hyperlink" Target="http://10thnrhc.ruralhealth.org.au/papers/docs/Kilpatrick_Sue_D2.pdf" TargetMode="External"/><Relationship Id="rId13" Type="http://schemas.openxmlformats.org/officeDocument/2006/relationships/hyperlink" Target="http://www.futureleaders.com.au/book_chapters/Health/Lauren_Rickards.php" TargetMode="External"/><Relationship Id="rId14" Type="http://schemas.openxmlformats.org/officeDocument/2006/relationships/hyperlink" Target="http://www.ahpanet.org/Community_Health_Planning_09.pdf" TargetMode="External"/><Relationship Id="rId15" Type="http://schemas.openxmlformats.org/officeDocument/2006/relationships/hyperlink" Target="http://www.who.int/suggestions/faq/en/" TargetMode="External"/><Relationship Id="rId16" Type="http://schemas.openxmlformats.org/officeDocument/2006/relationships/hyperlink" Target="http://www.who.int/healthsystems/hss_glossary/en/index6.htm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3DFB-0115-1045-8176-8FFDD714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5294</Words>
  <Characters>30181</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Kilpatrick</dc:creator>
  <cp:keywords/>
  <dc:description/>
  <cp:lastModifiedBy>Mark Scott</cp:lastModifiedBy>
  <cp:revision>2</cp:revision>
  <cp:lastPrinted>2018-03-15T13:54:00Z</cp:lastPrinted>
  <dcterms:created xsi:type="dcterms:W3CDTF">2019-02-13T07:56:00Z</dcterms:created>
  <dcterms:modified xsi:type="dcterms:W3CDTF">2019-02-13T07:56:00Z</dcterms:modified>
</cp:coreProperties>
</file>