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95B2" w14:textId="1758DDF3" w:rsidR="00BA0131" w:rsidRDefault="00CA3D04" w:rsidP="00CA3D04">
      <w:pPr>
        <w:spacing w:after="0"/>
        <w:ind w:left="2160" w:hanging="2160"/>
        <w:contextualSpacing/>
        <w:rPr>
          <w:rStyle w:val="apple-style-span"/>
          <w:rFonts w:cs="Calibri"/>
        </w:rPr>
      </w:pPr>
      <w:r>
        <w:rPr>
          <w:rStyle w:val="apple-style-span"/>
          <w:rFonts w:cs="Calibri"/>
        </w:rPr>
        <w:tab/>
      </w:r>
    </w:p>
    <w:p w14:paraId="019D266F" w14:textId="77777777" w:rsidR="00BA0131" w:rsidRDefault="00BA0131" w:rsidP="00CA3D04">
      <w:pPr>
        <w:spacing w:after="0"/>
        <w:ind w:left="2160" w:hanging="2160"/>
        <w:contextualSpacing/>
        <w:rPr>
          <w:rStyle w:val="apple-style-span"/>
          <w:rFonts w:cs="Calibri"/>
        </w:rPr>
      </w:pPr>
    </w:p>
    <w:p w14:paraId="72722630" w14:textId="77777777" w:rsidR="00BA0131" w:rsidRDefault="00BA0131" w:rsidP="00CA3D04">
      <w:pPr>
        <w:spacing w:after="0"/>
        <w:ind w:left="2160" w:hanging="2160"/>
        <w:contextualSpacing/>
        <w:rPr>
          <w:rStyle w:val="apple-style-span"/>
          <w:rFonts w:cs="Calibri"/>
        </w:rPr>
      </w:pPr>
    </w:p>
    <w:p w14:paraId="696DECE0" w14:textId="77777777" w:rsidR="00BA0131" w:rsidRDefault="00BA0131" w:rsidP="00CA3D04">
      <w:pPr>
        <w:spacing w:after="0"/>
        <w:ind w:left="2160" w:hanging="2160"/>
        <w:contextualSpacing/>
        <w:rPr>
          <w:rStyle w:val="apple-style-span"/>
          <w:rFonts w:cs="Calibri"/>
        </w:rPr>
      </w:pPr>
    </w:p>
    <w:p w14:paraId="5794E52F" w14:textId="77777777" w:rsidR="00BA0131" w:rsidRDefault="00BA0131" w:rsidP="00BA0131">
      <w:pPr>
        <w:spacing w:after="0"/>
        <w:ind w:left="0"/>
        <w:contextualSpacing/>
        <w:rPr>
          <w:rStyle w:val="apple-style-span"/>
          <w:rFonts w:cs="Calibri"/>
          <w:b/>
          <w:bCs/>
        </w:rPr>
      </w:pPr>
      <w:r>
        <w:rPr>
          <w:rStyle w:val="apple-style-span"/>
          <w:rFonts w:cs="Calibri"/>
          <w:b/>
          <w:bCs/>
        </w:rPr>
        <w:t xml:space="preserve">Victoria Nagy </w:t>
      </w:r>
      <w:r w:rsidR="00CA3D04">
        <w:rPr>
          <w:rStyle w:val="apple-style-span"/>
          <w:rFonts w:cs="Calibri"/>
          <w:b/>
          <w:bCs/>
        </w:rPr>
        <w:t xml:space="preserve"> </w:t>
      </w:r>
    </w:p>
    <w:p w14:paraId="7AA12ACD" w14:textId="14154981" w:rsidR="00CA3D04" w:rsidRDefault="00CA3D04" w:rsidP="00BA0131">
      <w:pPr>
        <w:spacing w:after="0"/>
        <w:ind w:left="0"/>
        <w:contextualSpacing/>
        <w:rPr>
          <w:rStyle w:val="apple-style-span"/>
          <w:rFonts w:cs="Calibri"/>
        </w:rPr>
      </w:pPr>
      <w:r>
        <w:rPr>
          <w:rStyle w:val="apple-style-span"/>
          <w:rFonts w:cs="Calibri"/>
        </w:rPr>
        <w:t xml:space="preserve">Research Seminar, </w:t>
      </w:r>
      <w:r w:rsidRPr="00C813EC">
        <w:rPr>
          <w:rStyle w:val="apple-style-span"/>
          <w:rFonts w:cs="Calibri"/>
          <w:i/>
          <w:iCs/>
        </w:rPr>
        <w:t>Women’s homicide offending in Victoria</w:t>
      </w:r>
      <w:r>
        <w:rPr>
          <w:rStyle w:val="apple-style-span"/>
          <w:rFonts w:cs="Calibri"/>
          <w:i/>
          <w:iCs/>
        </w:rPr>
        <w:t xml:space="preserve">, </w:t>
      </w:r>
      <w:r>
        <w:rPr>
          <w:rStyle w:val="apple-style-span"/>
          <w:rFonts w:cs="Calibri"/>
        </w:rPr>
        <w:t xml:space="preserve">Sydney. </w:t>
      </w:r>
      <w:r w:rsidRPr="00C813EC">
        <w:rPr>
          <w:rStyle w:val="apple-style-span"/>
          <w:rFonts w:cs="Calibri"/>
        </w:rPr>
        <w:t>University</w:t>
      </w:r>
      <w:r w:rsidR="00BA0131">
        <w:rPr>
          <w:rStyle w:val="apple-style-span"/>
          <w:rFonts w:cs="Calibri"/>
        </w:rPr>
        <w:t xml:space="preserve"> </w:t>
      </w:r>
      <w:r w:rsidRPr="00C813EC">
        <w:rPr>
          <w:rStyle w:val="apple-style-span"/>
          <w:rFonts w:cs="Calibri"/>
        </w:rPr>
        <w:t>Technology of Sydney</w:t>
      </w:r>
      <w:r>
        <w:rPr>
          <w:rStyle w:val="apple-style-span"/>
          <w:rFonts w:cs="Calibri"/>
        </w:rPr>
        <w:t>.</w:t>
      </w:r>
      <w:r w:rsidR="00115AA6">
        <w:rPr>
          <w:rStyle w:val="apple-style-span"/>
          <w:rFonts w:cs="Calibri"/>
        </w:rPr>
        <w:t xml:space="preserve"> </w:t>
      </w:r>
      <w:r w:rsidR="00115AA6">
        <w:rPr>
          <w:rStyle w:val="apple-style-span"/>
          <w:rFonts w:cs="Calibri"/>
        </w:rPr>
        <w:t>1</w:t>
      </w:r>
      <w:r w:rsidR="00115AA6" w:rsidRPr="00CA3D04">
        <w:rPr>
          <w:rStyle w:val="apple-style-span"/>
          <w:rFonts w:cs="Calibri"/>
          <w:vertAlign w:val="superscript"/>
        </w:rPr>
        <w:t>st</w:t>
      </w:r>
      <w:r w:rsidR="00115AA6">
        <w:rPr>
          <w:rStyle w:val="apple-style-span"/>
          <w:rFonts w:cs="Calibri"/>
        </w:rPr>
        <w:t xml:space="preserve"> May 2019</w:t>
      </w:r>
      <w:r w:rsidR="00115AA6">
        <w:rPr>
          <w:rStyle w:val="apple-style-span"/>
          <w:rFonts w:cs="Calibri"/>
        </w:rPr>
        <w:t xml:space="preserve">. </w:t>
      </w:r>
    </w:p>
    <w:p w14:paraId="73C5E93A" w14:textId="062926C7" w:rsidR="005F4160" w:rsidRDefault="00C90994"/>
    <w:p w14:paraId="58BD9500" w14:textId="1BD1032A" w:rsidR="00BA0131" w:rsidRPr="00C90994" w:rsidRDefault="00C90994" w:rsidP="00BA0131">
      <w:pPr>
        <w:rPr>
          <w:b/>
          <w:bCs/>
        </w:rPr>
      </w:pPr>
      <w:bookmarkStart w:id="0" w:name="_GoBack"/>
      <w:r w:rsidRPr="00C90994">
        <w:rPr>
          <w:b/>
          <w:bCs/>
        </w:rPr>
        <w:t>Abstract</w:t>
      </w:r>
    </w:p>
    <w:bookmarkEnd w:id="0"/>
    <w:p w14:paraId="7C09F6F0" w14:textId="77777777" w:rsidR="00BA0131" w:rsidRDefault="00BA0131" w:rsidP="00BA0131">
      <w:r>
        <w:t>Little is known about the women who were convicted of violence offences in Victoria during the 19</w:t>
      </w:r>
      <w:r w:rsidRPr="00726D26">
        <w:rPr>
          <w:vertAlign w:val="superscript"/>
        </w:rPr>
        <w:t>th</w:t>
      </w:r>
      <w:r>
        <w:t xml:space="preserve"> and early 20</w:t>
      </w:r>
      <w:r w:rsidRPr="00726D26">
        <w:rPr>
          <w:vertAlign w:val="superscript"/>
        </w:rPr>
        <w:t>th</w:t>
      </w:r>
      <w:r>
        <w:t xml:space="preserve"> century. Unless a woman was executed (there was a total of five women executed in Victoria), attention has bypassed female homicide offenders. Using the Central Female Prisoner Records of Victoria, 95 women have been identified as homicide offenders between 1860 and 1920. Using this as the beginning, this presentation will consider who these women were and why the study of the women who </w:t>
      </w:r>
      <w:r>
        <w:rPr>
          <w:i/>
          <w:iCs/>
        </w:rPr>
        <w:t xml:space="preserve">weren’t </w:t>
      </w:r>
      <w:r>
        <w:t>victims of the gallows offers a deeper understanding of the operation of and women’s place within the criminal justice system.</w:t>
      </w:r>
    </w:p>
    <w:p w14:paraId="73C14694" w14:textId="77777777" w:rsidR="00BA0131" w:rsidRDefault="00BA0131"/>
    <w:sectPr w:rsidR="00BA0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04"/>
    <w:rsid w:val="00115AA6"/>
    <w:rsid w:val="00B36842"/>
    <w:rsid w:val="00BA0131"/>
    <w:rsid w:val="00C90994"/>
    <w:rsid w:val="00CA3D04"/>
    <w:rsid w:val="00F178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9FEF"/>
  <w15:chartTrackingRefBased/>
  <w15:docId w15:val="{44C5DC1B-9EB4-470C-829A-313916DB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3D04"/>
    <w:pPr>
      <w:spacing w:after="200" w:line="240" w:lineRule="auto"/>
      <w:ind w:left="-170" w:right="-45"/>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CA3D04"/>
    <w:rPr>
      <w:rFonts w:cs="Times New Roman"/>
    </w:rPr>
  </w:style>
  <w:style w:type="paragraph" w:styleId="Date">
    <w:name w:val="Date"/>
    <w:basedOn w:val="Normal"/>
    <w:next w:val="Normal"/>
    <w:link w:val="DateChar"/>
    <w:uiPriority w:val="99"/>
    <w:semiHidden/>
    <w:unhideWhenUsed/>
    <w:rsid w:val="00BA0131"/>
  </w:style>
  <w:style w:type="character" w:customStyle="1" w:styleId="DateChar">
    <w:name w:val="Date Char"/>
    <w:basedOn w:val="DefaultParagraphFont"/>
    <w:link w:val="Date"/>
    <w:uiPriority w:val="99"/>
    <w:semiHidden/>
    <w:rsid w:val="00BA0131"/>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Nagy</dc:creator>
  <cp:keywords/>
  <dc:description/>
  <cp:lastModifiedBy>Vicky Nagy</cp:lastModifiedBy>
  <cp:revision>4</cp:revision>
  <dcterms:created xsi:type="dcterms:W3CDTF">2020-03-07T05:46:00Z</dcterms:created>
  <dcterms:modified xsi:type="dcterms:W3CDTF">2020-03-07T05:49:00Z</dcterms:modified>
</cp:coreProperties>
</file>